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EA64" w14:textId="1C8A82E1" w:rsidR="00DD030B" w:rsidRPr="001017CD" w:rsidRDefault="00620260">
      <w:pPr>
        <w:rPr>
          <w:rFonts w:ascii="Arial" w:hAnsi="Arial" w:cs="Arial"/>
        </w:rPr>
      </w:pPr>
    </w:p>
    <w:p w14:paraId="08CBAF7C" w14:textId="4B32C3CA" w:rsidR="00440F9B" w:rsidRDefault="004E6A78" w:rsidP="004E6A78">
      <w:pPr>
        <w:jc w:val="center"/>
        <w:rPr>
          <w:rFonts w:ascii="Arial" w:hAnsi="Arial" w:cs="Arial"/>
          <w:b/>
          <w:bCs/>
          <w:sz w:val="28"/>
          <w:szCs w:val="28"/>
        </w:rPr>
      </w:pPr>
      <w:r w:rsidRPr="001017CD">
        <w:rPr>
          <w:rFonts w:ascii="Arial" w:hAnsi="Arial" w:cs="Arial"/>
          <w:b/>
          <w:bCs/>
          <w:sz w:val="28"/>
          <w:szCs w:val="28"/>
        </w:rPr>
        <w:t>Associated Document 1</w:t>
      </w:r>
      <w:r w:rsidR="001017CD">
        <w:rPr>
          <w:rFonts w:ascii="Arial" w:hAnsi="Arial" w:cs="Arial"/>
          <w:b/>
          <w:bCs/>
          <w:sz w:val="28"/>
          <w:szCs w:val="28"/>
        </w:rPr>
        <w:t>:</w:t>
      </w:r>
      <w:r w:rsidRPr="001017CD">
        <w:rPr>
          <w:rFonts w:ascii="Arial" w:hAnsi="Arial" w:cs="Arial"/>
          <w:b/>
          <w:bCs/>
          <w:sz w:val="28"/>
          <w:szCs w:val="28"/>
        </w:rPr>
        <w:t xml:space="preserve"> Further guidance for Trial Committees</w:t>
      </w:r>
    </w:p>
    <w:p w14:paraId="5E24F75E" w14:textId="77777777" w:rsidR="001017CD" w:rsidRPr="001017CD" w:rsidRDefault="001017CD" w:rsidP="004E6A78">
      <w:pPr>
        <w:jc w:val="center"/>
        <w:rPr>
          <w:rFonts w:ascii="Arial" w:hAnsi="Arial" w:cs="Arial"/>
          <w:b/>
          <w:bCs/>
          <w:sz w:val="28"/>
          <w:szCs w:val="28"/>
        </w:rPr>
      </w:pPr>
    </w:p>
    <w:sdt>
      <w:sdtPr>
        <w:rPr>
          <w:rFonts w:ascii="Arial" w:eastAsiaTheme="minorHAnsi" w:hAnsi="Arial" w:cs="Arial"/>
          <w:color w:val="auto"/>
          <w:sz w:val="22"/>
          <w:szCs w:val="22"/>
          <w:lang w:val="en-GB"/>
        </w:rPr>
        <w:id w:val="-1888019941"/>
        <w:docPartObj>
          <w:docPartGallery w:val="Table of Contents"/>
          <w:docPartUnique/>
        </w:docPartObj>
      </w:sdtPr>
      <w:sdtEndPr>
        <w:rPr>
          <w:b/>
          <w:bCs/>
          <w:noProof/>
        </w:rPr>
      </w:sdtEndPr>
      <w:sdtContent>
        <w:p w14:paraId="2D2B6330" w14:textId="520C8FE6" w:rsidR="001017CD" w:rsidRPr="001017CD" w:rsidRDefault="001017CD">
          <w:pPr>
            <w:pStyle w:val="TOCHeading"/>
            <w:rPr>
              <w:rFonts w:ascii="Arial" w:hAnsi="Arial" w:cs="Arial"/>
              <w:b/>
              <w:bCs/>
              <w:color w:val="auto"/>
              <w:sz w:val="24"/>
              <w:szCs w:val="24"/>
            </w:rPr>
          </w:pPr>
          <w:r w:rsidRPr="001017CD">
            <w:rPr>
              <w:rFonts w:ascii="Arial" w:hAnsi="Arial" w:cs="Arial"/>
              <w:b/>
              <w:bCs/>
              <w:color w:val="auto"/>
              <w:sz w:val="24"/>
              <w:szCs w:val="24"/>
            </w:rPr>
            <w:t>Contents</w:t>
          </w:r>
        </w:p>
        <w:p w14:paraId="572EE0DC" w14:textId="28711358" w:rsidR="001017CD" w:rsidRPr="001017CD" w:rsidRDefault="001017CD">
          <w:pPr>
            <w:pStyle w:val="TOC1"/>
            <w:tabs>
              <w:tab w:val="right" w:leader="dot" w:pos="9016"/>
            </w:tabs>
            <w:rPr>
              <w:rFonts w:eastAsiaTheme="minorEastAsia"/>
              <w:noProof/>
              <w:lang w:eastAsia="en-GB"/>
            </w:rPr>
          </w:pPr>
          <w:r w:rsidRPr="001017CD">
            <w:rPr>
              <w:rFonts w:ascii="Arial" w:hAnsi="Arial" w:cs="Arial"/>
            </w:rPr>
            <w:fldChar w:fldCharType="begin"/>
          </w:r>
          <w:r w:rsidRPr="001017CD">
            <w:rPr>
              <w:rFonts w:ascii="Arial" w:hAnsi="Arial" w:cs="Arial"/>
            </w:rPr>
            <w:instrText xml:space="preserve"> TOC \o "1-3" \h \z \u </w:instrText>
          </w:r>
          <w:r w:rsidRPr="001017CD">
            <w:rPr>
              <w:rFonts w:ascii="Arial" w:hAnsi="Arial" w:cs="Arial"/>
            </w:rPr>
            <w:fldChar w:fldCharType="separate"/>
          </w:r>
          <w:hyperlink w:anchor="_Toc117587496" w:history="1">
            <w:r w:rsidRPr="001017CD">
              <w:rPr>
                <w:rStyle w:val="Hyperlink"/>
                <w:rFonts w:ascii="Arial" w:hAnsi="Arial" w:cs="Arial"/>
                <w:noProof/>
              </w:rPr>
              <w:t>Data Monitoring Committee</w:t>
            </w:r>
            <w:r w:rsidRPr="001017CD">
              <w:rPr>
                <w:noProof/>
                <w:webHidden/>
              </w:rPr>
              <w:tab/>
            </w:r>
            <w:r w:rsidRPr="001017CD">
              <w:rPr>
                <w:noProof/>
                <w:webHidden/>
              </w:rPr>
              <w:fldChar w:fldCharType="begin"/>
            </w:r>
            <w:r w:rsidRPr="001017CD">
              <w:rPr>
                <w:noProof/>
                <w:webHidden/>
              </w:rPr>
              <w:instrText xml:space="preserve"> PAGEREF _Toc117587496 \h </w:instrText>
            </w:r>
            <w:r w:rsidRPr="001017CD">
              <w:rPr>
                <w:noProof/>
                <w:webHidden/>
              </w:rPr>
            </w:r>
            <w:r w:rsidRPr="001017CD">
              <w:rPr>
                <w:noProof/>
                <w:webHidden/>
              </w:rPr>
              <w:fldChar w:fldCharType="separate"/>
            </w:r>
            <w:r w:rsidRPr="001017CD">
              <w:rPr>
                <w:noProof/>
                <w:webHidden/>
              </w:rPr>
              <w:t>1</w:t>
            </w:r>
            <w:r w:rsidRPr="001017CD">
              <w:rPr>
                <w:noProof/>
                <w:webHidden/>
              </w:rPr>
              <w:fldChar w:fldCharType="end"/>
            </w:r>
          </w:hyperlink>
        </w:p>
        <w:p w14:paraId="3C753189" w14:textId="14FFEA4B" w:rsidR="001017CD" w:rsidRPr="001017CD" w:rsidRDefault="00620260">
          <w:pPr>
            <w:pStyle w:val="TOC1"/>
            <w:tabs>
              <w:tab w:val="right" w:leader="dot" w:pos="9016"/>
            </w:tabs>
            <w:rPr>
              <w:rFonts w:eastAsiaTheme="minorEastAsia"/>
              <w:noProof/>
              <w:lang w:eastAsia="en-GB"/>
            </w:rPr>
          </w:pPr>
          <w:hyperlink w:anchor="_Toc117587497" w:history="1">
            <w:r w:rsidR="001017CD" w:rsidRPr="001017CD">
              <w:rPr>
                <w:rStyle w:val="Hyperlink"/>
                <w:rFonts w:ascii="Arial" w:hAnsi="Arial" w:cs="Arial"/>
                <w:noProof/>
              </w:rPr>
              <w:t>Trial Steering Committee</w:t>
            </w:r>
            <w:r w:rsidR="001017CD" w:rsidRPr="001017CD">
              <w:rPr>
                <w:noProof/>
                <w:webHidden/>
              </w:rPr>
              <w:tab/>
            </w:r>
            <w:r w:rsidR="001017CD" w:rsidRPr="001017CD">
              <w:rPr>
                <w:noProof/>
                <w:webHidden/>
              </w:rPr>
              <w:fldChar w:fldCharType="begin"/>
            </w:r>
            <w:r w:rsidR="001017CD" w:rsidRPr="001017CD">
              <w:rPr>
                <w:noProof/>
                <w:webHidden/>
              </w:rPr>
              <w:instrText xml:space="preserve"> PAGEREF _Toc117587497 \h </w:instrText>
            </w:r>
            <w:r w:rsidR="001017CD" w:rsidRPr="001017CD">
              <w:rPr>
                <w:noProof/>
                <w:webHidden/>
              </w:rPr>
            </w:r>
            <w:r w:rsidR="001017CD" w:rsidRPr="001017CD">
              <w:rPr>
                <w:noProof/>
                <w:webHidden/>
              </w:rPr>
              <w:fldChar w:fldCharType="separate"/>
            </w:r>
            <w:r w:rsidR="001017CD" w:rsidRPr="001017CD">
              <w:rPr>
                <w:noProof/>
                <w:webHidden/>
              </w:rPr>
              <w:t>1</w:t>
            </w:r>
            <w:r w:rsidR="001017CD" w:rsidRPr="001017CD">
              <w:rPr>
                <w:noProof/>
                <w:webHidden/>
              </w:rPr>
              <w:fldChar w:fldCharType="end"/>
            </w:r>
          </w:hyperlink>
        </w:p>
        <w:p w14:paraId="76FA37E6" w14:textId="38CBF220" w:rsidR="001017CD" w:rsidRPr="001017CD" w:rsidRDefault="00620260">
          <w:pPr>
            <w:pStyle w:val="TOC1"/>
            <w:tabs>
              <w:tab w:val="right" w:leader="dot" w:pos="9016"/>
            </w:tabs>
            <w:rPr>
              <w:rFonts w:eastAsiaTheme="minorEastAsia"/>
              <w:noProof/>
              <w:lang w:eastAsia="en-GB"/>
            </w:rPr>
          </w:pPr>
          <w:hyperlink w:anchor="_Toc117587498" w:history="1">
            <w:r w:rsidR="001017CD" w:rsidRPr="001017CD">
              <w:rPr>
                <w:rStyle w:val="Hyperlink"/>
                <w:rFonts w:ascii="Arial" w:hAnsi="Arial" w:cs="Arial"/>
                <w:noProof/>
              </w:rPr>
              <w:t>Independent</w:t>
            </w:r>
            <w:r w:rsidR="001017CD" w:rsidRPr="001017CD">
              <w:rPr>
                <w:noProof/>
                <w:webHidden/>
              </w:rPr>
              <w:tab/>
            </w:r>
            <w:r w:rsidR="001017CD" w:rsidRPr="001017CD">
              <w:rPr>
                <w:noProof/>
                <w:webHidden/>
              </w:rPr>
              <w:fldChar w:fldCharType="begin"/>
            </w:r>
            <w:r w:rsidR="001017CD" w:rsidRPr="001017CD">
              <w:rPr>
                <w:noProof/>
                <w:webHidden/>
              </w:rPr>
              <w:instrText xml:space="preserve"> PAGEREF _Toc117587498 \h </w:instrText>
            </w:r>
            <w:r w:rsidR="001017CD" w:rsidRPr="001017CD">
              <w:rPr>
                <w:noProof/>
                <w:webHidden/>
              </w:rPr>
            </w:r>
            <w:r w:rsidR="001017CD" w:rsidRPr="001017CD">
              <w:rPr>
                <w:noProof/>
                <w:webHidden/>
              </w:rPr>
              <w:fldChar w:fldCharType="separate"/>
            </w:r>
            <w:r w:rsidR="001017CD" w:rsidRPr="001017CD">
              <w:rPr>
                <w:noProof/>
                <w:webHidden/>
              </w:rPr>
              <w:t>2</w:t>
            </w:r>
            <w:r w:rsidR="001017CD" w:rsidRPr="001017CD">
              <w:rPr>
                <w:noProof/>
                <w:webHidden/>
              </w:rPr>
              <w:fldChar w:fldCharType="end"/>
            </w:r>
          </w:hyperlink>
        </w:p>
        <w:p w14:paraId="783F584E" w14:textId="031475EB" w:rsidR="001017CD" w:rsidRPr="001017CD" w:rsidRDefault="00620260">
          <w:pPr>
            <w:pStyle w:val="TOC1"/>
            <w:tabs>
              <w:tab w:val="right" w:leader="dot" w:pos="9016"/>
            </w:tabs>
            <w:rPr>
              <w:rFonts w:eastAsiaTheme="minorEastAsia"/>
              <w:noProof/>
              <w:lang w:eastAsia="en-GB"/>
            </w:rPr>
          </w:pPr>
          <w:hyperlink w:anchor="_Toc117587499" w:history="1">
            <w:r w:rsidR="001017CD" w:rsidRPr="001017CD">
              <w:rPr>
                <w:rStyle w:val="Hyperlink"/>
                <w:rFonts w:ascii="Arial" w:hAnsi="Arial" w:cs="Arial"/>
                <w:noProof/>
              </w:rPr>
              <w:t>Independent (in relation to the statistician for TSC and DMC)</w:t>
            </w:r>
            <w:r w:rsidR="001017CD" w:rsidRPr="001017CD">
              <w:rPr>
                <w:noProof/>
                <w:webHidden/>
              </w:rPr>
              <w:tab/>
            </w:r>
            <w:r w:rsidR="001017CD" w:rsidRPr="001017CD">
              <w:rPr>
                <w:noProof/>
                <w:webHidden/>
              </w:rPr>
              <w:fldChar w:fldCharType="begin"/>
            </w:r>
            <w:r w:rsidR="001017CD" w:rsidRPr="001017CD">
              <w:rPr>
                <w:noProof/>
                <w:webHidden/>
              </w:rPr>
              <w:instrText xml:space="preserve"> PAGEREF _Toc117587499 \h </w:instrText>
            </w:r>
            <w:r w:rsidR="001017CD" w:rsidRPr="001017CD">
              <w:rPr>
                <w:noProof/>
                <w:webHidden/>
              </w:rPr>
            </w:r>
            <w:r w:rsidR="001017CD" w:rsidRPr="001017CD">
              <w:rPr>
                <w:noProof/>
                <w:webHidden/>
              </w:rPr>
              <w:fldChar w:fldCharType="separate"/>
            </w:r>
            <w:r w:rsidR="001017CD" w:rsidRPr="001017CD">
              <w:rPr>
                <w:noProof/>
                <w:webHidden/>
              </w:rPr>
              <w:t>2</w:t>
            </w:r>
            <w:r w:rsidR="001017CD" w:rsidRPr="001017CD">
              <w:rPr>
                <w:noProof/>
                <w:webHidden/>
              </w:rPr>
              <w:fldChar w:fldCharType="end"/>
            </w:r>
          </w:hyperlink>
        </w:p>
        <w:p w14:paraId="312B9BF4" w14:textId="42FC6601" w:rsidR="001017CD" w:rsidRPr="001017CD" w:rsidRDefault="00620260">
          <w:pPr>
            <w:pStyle w:val="TOC1"/>
            <w:tabs>
              <w:tab w:val="right" w:leader="dot" w:pos="9016"/>
            </w:tabs>
            <w:rPr>
              <w:rFonts w:eastAsiaTheme="minorEastAsia"/>
              <w:noProof/>
              <w:lang w:eastAsia="en-GB"/>
            </w:rPr>
          </w:pPr>
          <w:hyperlink w:anchor="_Toc117587500" w:history="1">
            <w:r w:rsidR="001017CD" w:rsidRPr="001017CD">
              <w:rPr>
                <w:rStyle w:val="Hyperlink"/>
                <w:rFonts w:ascii="Arial" w:hAnsi="Arial" w:cs="Arial"/>
                <w:noProof/>
              </w:rPr>
              <w:t>Charter</w:t>
            </w:r>
            <w:r w:rsidR="001017CD" w:rsidRPr="001017CD">
              <w:rPr>
                <w:noProof/>
                <w:webHidden/>
              </w:rPr>
              <w:tab/>
            </w:r>
            <w:r w:rsidR="001017CD" w:rsidRPr="001017CD">
              <w:rPr>
                <w:noProof/>
                <w:webHidden/>
              </w:rPr>
              <w:fldChar w:fldCharType="begin"/>
            </w:r>
            <w:r w:rsidR="001017CD" w:rsidRPr="001017CD">
              <w:rPr>
                <w:noProof/>
                <w:webHidden/>
              </w:rPr>
              <w:instrText xml:space="preserve"> PAGEREF _Toc117587500 \h </w:instrText>
            </w:r>
            <w:r w:rsidR="001017CD" w:rsidRPr="001017CD">
              <w:rPr>
                <w:noProof/>
                <w:webHidden/>
              </w:rPr>
            </w:r>
            <w:r w:rsidR="001017CD" w:rsidRPr="001017CD">
              <w:rPr>
                <w:noProof/>
                <w:webHidden/>
              </w:rPr>
              <w:fldChar w:fldCharType="separate"/>
            </w:r>
            <w:r w:rsidR="001017CD" w:rsidRPr="001017CD">
              <w:rPr>
                <w:noProof/>
                <w:webHidden/>
              </w:rPr>
              <w:t>2</w:t>
            </w:r>
            <w:r w:rsidR="001017CD" w:rsidRPr="001017CD">
              <w:rPr>
                <w:noProof/>
                <w:webHidden/>
              </w:rPr>
              <w:fldChar w:fldCharType="end"/>
            </w:r>
          </w:hyperlink>
        </w:p>
        <w:p w14:paraId="710A9D9B" w14:textId="30B13C37" w:rsidR="001017CD" w:rsidRPr="001017CD" w:rsidRDefault="00620260">
          <w:pPr>
            <w:pStyle w:val="TOC1"/>
            <w:tabs>
              <w:tab w:val="right" w:leader="dot" w:pos="9016"/>
            </w:tabs>
            <w:rPr>
              <w:rFonts w:eastAsiaTheme="minorEastAsia"/>
              <w:noProof/>
              <w:lang w:eastAsia="en-GB"/>
            </w:rPr>
          </w:pPr>
          <w:hyperlink w:anchor="_Toc117587501" w:history="1">
            <w:r w:rsidR="001017CD" w:rsidRPr="001017CD">
              <w:rPr>
                <w:rStyle w:val="Hyperlink"/>
                <w:rFonts w:ascii="Arial" w:hAnsi="Arial" w:cs="Arial"/>
                <w:noProof/>
              </w:rPr>
              <w:t>Trial Management Group Remit</w:t>
            </w:r>
            <w:r w:rsidR="001017CD" w:rsidRPr="001017CD">
              <w:rPr>
                <w:noProof/>
                <w:webHidden/>
              </w:rPr>
              <w:tab/>
            </w:r>
            <w:r w:rsidR="001017CD" w:rsidRPr="001017CD">
              <w:rPr>
                <w:noProof/>
                <w:webHidden/>
              </w:rPr>
              <w:fldChar w:fldCharType="begin"/>
            </w:r>
            <w:r w:rsidR="001017CD" w:rsidRPr="001017CD">
              <w:rPr>
                <w:noProof/>
                <w:webHidden/>
              </w:rPr>
              <w:instrText xml:space="preserve"> PAGEREF _Toc117587501 \h </w:instrText>
            </w:r>
            <w:r w:rsidR="001017CD" w:rsidRPr="001017CD">
              <w:rPr>
                <w:noProof/>
                <w:webHidden/>
              </w:rPr>
            </w:r>
            <w:r w:rsidR="001017CD" w:rsidRPr="001017CD">
              <w:rPr>
                <w:noProof/>
                <w:webHidden/>
              </w:rPr>
              <w:fldChar w:fldCharType="separate"/>
            </w:r>
            <w:r w:rsidR="001017CD" w:rsidRPr="001017CD">
              <w:rPr>
                <w:noProof/>
                <w:webHidden/>
              </w:rPr>
              <w:t>2</w:t>
            </w:r>
            <w:r w:rsidR="001017CD" w:rsidRPr="001017CD">
              <w:rPr>
                <w:noProof/>
                <w:webHidden/>
              </w:rPr>
              <w:fldChar w:fldCharType="end"/>
            </w:r>
          </w:hyperlink>
        </w:p>
        <w:p w14:paraId="748900C6" w14:textId="3F4D2577" w:rsidR="001017CD" w:rsidRPr="001017CD" w:rsidRDefault="001017CD">
          <w:pPr>
            <w:rPr>
              <w:rFonts w:ascii="Arial" w:hAnsi="Arial" w:cs="Arial"/>
            </w:rPr>
          </w:pPr>
          <w:r w:rsidRPr="001017CD">
            <w:rPr>
              <w:rFonts w:ascii="Arial" w:hAnsi="Arial" w:cs="Arial"/>
              <w:b/>
              <w:bCs/>
              <w:noProof/>
            </w:rPr>
            <w:fldChar w:fldCharType="end"/>
          </w:r>
        </w:p>
      </w:sdtContent>
    </w:sdt>
    <w:p w14:paraId="37B788C1" w14:textId="77777777" w:rsidR="004E6A78" w:rsidRPr="001017CD" w:rsidRDefault="004E6A78" w:rsidP="004E6A78">
      <w:pPr>
        <w:jc w:val="center"/>
        <w:rPr>
          <w:rFonts w:ascii="Arial" w:hAnsi="Arial" w:cs="Arial"/>
          <w:b/>
          <w:bCs/>
          <w:sz w:val="28"/>
          <w:szCs w:val="28"/>
        </w:rPr>
      </w:pPr>
    </w:p>
    <w:p w14:paraId="70DB8A2F" w14:textId="752A6E77" w:rsidR="00440F9B" w:rsidRPr="001017CD" w:rsidRDefault="00440F9B" w:rsidP="004E6A78">
      <w:pPr>
        <w:pStyle w:val="Heading1"/>
        <w:rPr>
          <w:rFonts w:ascii="Arial" w:hAnsi="Arial" w:cs="Arial"/>
          <w:b/>
          <w:bCs/>
          <w:color w:val="auto"/>
          <w:sz w:val="24"/>
          <w:szCs w:val="24"/>
        </w:rPr>
      </w:pPr>
      <w:bookmarkStart w:id="0" w:name="_Toc117587496"/>
      <w:r w:rsidRPr="001017CD">
        <w:rPr>
          <w:rFonts w:ascii="Arial" w:hAnsi="Arial" w:cs="Arial"/>
          <w:b/>
          <w:bCs/>
          <w:color w:val="auto"/>
          <w:sz w:val="24"/>
          <w:szCs w:val="24"/>
        </w:rPr>
        <w:t>Data Monitoring Committee:</w:t>
      </w:r>
      <w:bookmarkEnd w:id="0"/>
    </w:p>
    <w:p w14:paraId="77DCBE18" w14:textId="77777777" w:rsidR="001017CD" w:rsidRPr="001017CD" w:rsidRDefault="001017CD" w:rsidP="001017CD">
      <w:pPr>
        <w:rPr>
          <w:rFonts w:ascii="Arial" w:hAnsi="Arial" w:cs="Arial"/>
        </w:rPr>
      </w:pPr>
    </w:p>
    <w:p w14:paraId="315110CE" w14:textId="77777777" w:rsidR="00440F9B" w:rsidRPr="001017CD" w:rsidRDefault="00440F9B" w:rsidP="00440F9B">
      <w:pPr>
        <w:spacing w:after="120"/>
        <w:jc w:val="both"/>
        <w:rPr>
          <w:rFonts w:ascii="Arial" w:hAnsi="Arial" w:cs="Arial"/>
        </w:rPr>
      </w:pPr>
      <w:r w:rsidRPr="001017CD">
        <w:rPr>
          <w:rFonts w:ascii="Arial" w:hAnsi="Arial" w:cs="Arial"/>
        </w:rPr>
        <w:t xml:space="preserve">An Independent Data Monitoring Committee (DMC) -group  also referred to as Data Monitoring and Ethics Committee (DMEC), Data Safety and Monitoring Committee (DSMC), or Data Safety and Monitoring Board (DSMB) - is a group of experts independent of the study team who review accumulating data from an on-going clinical trial. Definitions of what constitutes independence vary, but members should not be hold a position where they could be seen to be exposed to undue influence of the trial team. The broad remit of a DMC is to safeguard the interests of the study participants, as well as future patients whose care may be influenced by the trial findings. The DMC will monitor the safety and the treatment efficacy of the interventions during the study. The DMC  is not necessary for all studies, it is the TSC decision. may also assess other aspects of a clinical trial such as efficacy, study integrity, design aspects, </w:t>
      </w:r>
      <w:proofErr w:type="gramStart"/>
      <w:r w:rsidRPr="001017CD">
        <w:rPr>
          <w:rFonts w:ascii="Arial" w:hAnsi="Arial" w:cs="Arial"/>
        </w:rPr>
        <w:t>recruitment</w:t>
      </w:r>
      <w:proofErr w:type="gramEnd"/>
      <w:r w:rsidRPr="001017CD">
        <w:rPr>
          <w:rFonts w:ascii="Arial" w:hAnsi="Arial" w:cs="Arial"/>
        </w:rPr>
        <w:t xml:space="preserve"> and some ethical considerations (such as early analysis and publication). In </w:t>
      </w:r>
      <w:proofErr w:type="gramStart"/>
      <w:r w:rsidRPr="001017CD">
        <w:rPr>
          <w:rFonts w:ascii="Arial" w:hAnsi="Arial" w:cs="Arial"/>
        </w:rPr>
        <w:t>general</w:t>
      </w:r>
      <w:proofErr w:type="gramEnd"/>
      <w:r w:rsidRPr="001017CD">
        <w:rPr>
          <w:rFonts w:ascii="Arial" w:hAnsi="Arial" w:cs="Arial"/>
        </w:rPr>
        <w:t xml:space="preserve"> a DMC is required when a trial is randomised, and the trial team should not access data which gives any insight into the potential findings until the trial is complete. In addition to providing independent advice on safety and efficacy,  the DMC ensures the blinding of the research team to the interim trial findings. Rather than making decisions, the DMC makes recommendations to the Trial Steering Committee, which may include recommending the termination of a study for safety reasons, due to evidence of the studies futility, or the studies overwhelming statically proven benefit. The DMC usually includes at least one clinician with relevant expertise and at least one statistician.</w:t>
      </w:r>
    </w:p>
    <w:p w14:paraId="0DFE7FB0" w14:textId="77777777" w:rsidR="00440F9B" w:rsidRPr="001017CD" w:rsidRDefault="00440F9B" w:rsidP="00440F9B">
      <w:pPr>
        <w:spacing w:after="120"/>
        <w:jc w:val="both"/>
        <w:rPr>
          <w:rFonts w:ascii="Arial" w:hAnsi="Arial" w:cs="Arial"/>
          <w:vertAlign w:val="superscript"/>
        </w:rPr>
      </w:pPr>
    </w:p>
    <w:p w14:paraId="77753609" w14:textId="1BB0024D" w:rsidR="00440F9B" w:rsidRPr="001017CD" w:rsidRDefault="00440F9B" w:rsidP="004E6A78">
      <w:pPr>
        <w:pStyle w:val="Heading1"/>
        <w:rPr>
          <w:rFonts w:ascii="Arial" w:hAnsi="Arial" w:cs="Arial"/>
          <w:b/>
          <w:bCs/>
          <w:color w:val="auto"/>
          <w:sz w:val="24"/>
          <w:szCs w:val="24"/>
        </w:rPr>
      </w:pPr>
      <w:bookmarkStart w:id="1" w:name="_Toc117587497"/>
      <w:r w:rsidRPr="001017CD">
        <w:rPr>
          <w:rFonts w:ascii="Arial" w:hAnsi="Arial" w:cs="Arial"/>
          <w:b/>
          <w:bCs/>
          <w:color w:val="auto"/>
          <w:sz w:val="24"/>
          <w:szCs w:val="24"/>
        </w:rPr>
        <w:t>Trial Steering Committee:</w:t>
      </w:r>
      <w:bookmarkEnd w:id="1"/>
    </w:p>
    <w:p w14:paraId="3A3F796F" w14:textId="77777777" w:rsidR="001017CD" w:rsidRPr="001017CD" w:rsidRDefault="001017CD" w:rsidP="001017CD">
      <w:pPr>
        <w:rPr>
          <w:rFonts w:ascii="Arial" w:hAnsi="Arial" w:cs="Arial"/>
        </w:rPr>
      </w:pPr>
    </w:p>
    <w:p w14:paraId="66A6F2D3" w14:textId="77777777" w:rsidR="00440F9B" w:rsidRPr="001017CD" w:rsidRDefault="00440F9B" w:rsidP="00440F9B">
      <w:pPr>
        <w:autoSpaceDE w:val="0"/>
        <w:autoSpaceDN w:val="0"/>
        <w:adjustRightInd w:val="0"/>
        <w:spacing w:after="120"/>
        <w:jc w:val="both"/>
        <w:rPr>
          <w:rFonts w:ascii="Arial" w:hAnsi="Arial" w:cs="Arial"/>
          <w:shd w:val="clear" w:color="auto" w:fill="FFFFFF"/>
        </w:rPr>
      </w:pPr>
      <w:r w:rsidRPr="001017CD">
        <w:rPr>
          <w:rFonts w:ascii="Arial" w:hAnsi="Arial" w:cs="Arial"/>
        </w:rPr>
        <w:t xml:space="preserve">A TSC provides overall study supervision and advice through its Independent Chair (see note above on independence), on behalf of the trial sponsor and/or the funder. Its role is to ensure that the study is conducted in accordance with the protocol, Good Clinical Practice (GCP), and relevant regulations. The TSC should include members who are independent of the study investigators, their employing organisations, funders, and sponsor. Rules on TSC membership </w:t>
      </w:r>
      <w:r w:rsidRPr="001017CD">
        <w:rPr>
          <w:rFonts w:ascii="Arial" w:hAnsi="Arial" w:cs="Arial"/>
        </w:rPr>
        <w:lastRenderedPageBreak/>
        <w:t xml:space="preserve">vary but in general, it is helpful for </w:t>
      </w:r>
      <w:proofErr w:type="gramStart"/>
      <w:r w:rsidRPr="001017CD">
        <w:rPr>
          <w:rFonts w:ascii="Arial" w:hAnsi="Arial" w:cs="Arial"/>
        </w:rPr>
        <w:t>the majority of</w:t>
      </w:r>
      <w:proofErr w:type="gramEnd"/>
      <w:r w:rsidRPr="001017CD">
        <w:rPr>
          <w:rFonts w:ascii="Arial" w:hAnsi="Arial" w:cs="Arial"/>
        </w:rPr>
        <w:t xml:space="preserve"> voting members to be independent. The TSC concentrates on the progress of the study, adherence to the protocol, patient welfare, and considers new information of relevance to the research question. The TSC may meet at the beginning of the study to approve the final protocol and, once active, considers any new relevant information, including recommendations from the DMC or results from other studies. Based on any such information, the TSC may make recommendations to change the trial documents (</w:t>
      </w:r>
      <w:proofErr w:type="gramStart"/>
      <w:r w:rsidRPr="001017CD">
        <w:rPr>
          <w:rFonts w:ascii="Arial" w:hAnsi="Arial" w:cs="Arial"/>
        </w:rPr>
        <w:t>i.e.</w:t>
      </w:r>
      <w:proofErr w:type="gramEnd"/>
      <w:r w:rsidRPr="001017CD">
        <w:rPr>
          <w:rFonts w:ascii="Arial" w:hAnsi="Arial" w:cs="Arial"/>
        </w:rPr>
        <w:t xml:space="preserve"> the protocol or patient documents) or to stop or extend the trial. Where the sponsor and protocol permit, the TSC may consider requests to publish data before the end of study. All studies require a TSC</w:t>
      </w:r>
      <w:r w:rsidRPr="001017CD">
        <w:rPr>
          <w:rFonts w:ascii="Arial" w:hAnsi="Arial" w:cs="Arial"/>
          <w:shd w:val="clear" w:color="auto" w:fill="FFFFFF"/>
        </w:rPr>
        <w:t xml:space="preserve">. </w:t>
      </w:r>
    </w:p>
    <w:p w14:paraId="2DBE76B9" w14:textId="4A54F7F9" w:rsidR="00440F9B" w:rsidRPr="001017CD" w:rsidRDefault="00440F9B" w:rsidP="004E6A78">
      <w:pPr>
        <w:pStyle w:val="Heading1"/>
        <w:rPr>
          <w:rFonts w:ascii="Arial" w:hAnsi="Arial" w:cs="Arial"/>
          <w:b/>
          <w:bCs/>
          <w:color w:val="auto"/>
          <w:sz w:val="24"/>
          <w:szCs w:val="24"/>
        </w:rPr>
      </w:pPr>
      <w:bookmarkStart w:id="2" w:name="_Toc117587498"/>
      <w:r w:rsidRPr="001017CD">
        <w:rPr>
          <w:rFonts w:ascii="Arial" w:hAnsi="Arial" w:cs="Arial"/>
          <w:b/>
          <w:bCs/>
          <w:color w:val="auto"/>
          <w:sz w:val="24"/>
          <w:szCs w:val="24"/>
        </w:rPr>
        <w:t>Independent:</w:t>
      </w:r>
      <w:bookmarkEnd w:id="2"/>
    </w:p>
    <w:p w14:paraId="38B9E78B" w14:textId="77777777" w:rsidR="001017CD" w:rsidRPr="001017CD" w:rsidRDefault="001017CD" w:rsidP="001017CD">
      <w:pPr>
        <w:rPr>
          <w:rFonts w:ascii="Arial" w:hAnsi="Arial" w:cs="Arial"/>
        </w:rPr>
      </w:pPr>
    </w:p>
    <w:p w14:paraId="7EDD6A86" w14:textId="4630C7D9" w:rsidR="00440F9B" w:rsidRPr="001017CD" w:rsidRDefault="00440F9B" w:rsidP="00440F9B">
      <w:pPr>
        <w:spacing w:after="120"/>
        <w:jc w:val="both"/>
        <w:rPr>
          <w:rFonts w:ascii="Arial" w:hAnsi="Arial" w:cs="Arial"/>
        </w:rPr>
      </w:pPr>
      <w:r w:rsidRPr="001017CD">
        <w:rPr>
          <w:rFonts w:ascii="Arial" w:hAnsi="Arial" w:cs="Arial"/>
        </w:rPr>
        <w:t>The Chair should not be an employee of Barts Health or Queen Mary. They should not be named on any funding application associated with the study and should not have been involved in the study design or study planning stages. They should not be colleagues or close research collaborators of the trial team. See guidance for more</w:t>
      </w:r>
    </w:p>
    <w:p w14:paraId="586FA8FF" w14:textId="77777777" w:rsidR="004E6A78" w:rsidRPr="001017CD" w:rsidRDefault="004E6A78" w:rsidP="00440F9B">
      <w:pPr>
        <w:spacing w:after="120"/>
        <w:jc w:val="both"/>
        <w:rPr>
          <w:rFonts w:ascii="Arial" w:hAnsi="Arial" w:cs="Arial"/>
        </w:rPr>
      </w:pPr>
    </w:p>
    <w:p w14:paraId="0F4C9649" w14:textId="4EF4A267" w:rsidR="00440F9B" w:rsidRPr="001017CD" w:rsidRDefault="00440F9B" w:rsidP="004E6A78">
      <w:pPr>
        <w:pStyle w:val="Heading1"/>
        <w:rPr>
          <w:rFonts w:ascii="Arial" w:hAnsi="Arial" w:cs="Arial"/>
          <w:b/>
          <w:color w:val="auto"/>
          <w:sz w:val="24"/>
          <w:szCs w:val="24"/>
        </w:rPr>
      </w:pPr>
      <w:bookmarkStart w:id="3" w:name="_Toc117587499"/>
      <w:r w:rsidRPr="001017CD">
        <w:rPr>
          <w:rFonts w:ascii="Arial" w:hAnsi="Arial" w:cs="Arial"/>
          <w:b/>
          <w:color w:val="auto"/>
          <w:sz w:val="24"/>
          <w:szCs w:val="24"/>
        </w:rPr>
        <w:t>Independent (in relation to the statistician for TSC and DMC):</w:t>
      </w:r>
      <w:bookmarkEnd w:id="3"/>
    </w:p>
    <w:p w14:paraId="1A071A45" w14:textId="77777777" w:rsidR="001017CD" w:rsidRPr="001017CD" w:rsidRDefault="001017CD" w:rsidP="001017CD">
      <w:pPr>
        <w:rPr>
          <w:rFonts w:ascii="Arial" w:hAnsi="Arial" w:cs="Arial"/>
        </w:rPr>
      </w:pPr>
    </w:p>
    <w:p w14:paraId="082E2EE3" w14:textId="77777777" w:rsidR="00440F9B" w:rsidRPr="001017CD" w:rsidRDefault="00440F9B" w:rsidP="00440F9B">
      <w:pPr>
        <w:spacing w:after="120"/>
        <w:jc w:val="both"/>
        <w:rPr>
          <w:rFonts w:ascii="Arial" w:hAnsi="Arial" w:cs="Arial"/>
        </w:rPr>
      </w:pPr>
      <w:r w:rsidRPr="001017CD">
        <w:rPr>
          <w:rFonts w:ascii="Arial" w:hAnsi="Arial" w:cs="Arial"/>
        </w:rPr>
        <w:t>For selected studies, it may be considered acceptable for the independent statistician to be an employee of Queen Mary or Barts Health, but they should not be directly related or involved with the study design or funding application, the day to day running of the study, or its final analysis, and so cannot be the named study statistician. It is acceptable to contract a suitably qualified statistician to perform this role.</w:t>
      </w:r>
    </w:p>
    <w:p w14:paraId="6EC96F10" w14:textId="1D877C2C" w:rsidR="00440F9B" w:rsidRPr="001017CD" w:rsidRDefault="00440F9B" w:rsidP="004E6A78">
      <w:pPr>
        <w:pStyle w:val="Heading1"/>
        <w:rPr>
          <w:rFonts w:ascii="Arial" w:hAnsi="Arial" w:cs="Arial"/>
          <w:b/>
          <w:bCs/>
          <w:color w:val="auto"/>
          <w:sz w:val="24"/>
          <w:szCs w:val="24"/>
        </w:rPr>
      </w:pPr>
      <w:bookmarkStart w:id="4" w:name="_Toc117587500"/>
      <w:r w:rsidRPr="001017CD">
        <w:rPr>
          <w:rFonts w:ascii="Arial" w:hAnsi="Arial" w:cs="Arial"/>
          <w:b/>
          <w:bCs/>
          <w:color w:val="auto"/>
          <w:sz w:val="24"/>
          <w:szCs w:val="24"/>
        </w:rPr>
        <w:t>Charter:</w:t>
      </w:r>
      <w:bookmarkEnd w:id="4"/>
    </w:p>
    <w:p w14:paraId="71B352D0" w14:textId="77777777" w:rsidR="001017CD" w:rsidRPr="001017CD" w:rsidRDefault="001017CD" w:rsidP="001017CD">
      <w:pPr>
        <w:rPr>
          <w:rFonts w:ascii="Arial" w:hAnsi="Arial" w:cs="Arial"/>
        </w:rPr>
      </w:pPr>
    </w:p>
    <w:p w14:paraId="40B6A648" w14:textId="71A23C48" w:rsidR="00440F9B" w:rsidRPr="001017CD" w:rsidRDefault="00440F9B" w:rsidP="00440F9B">
      <w:pPr>
        <w:spacing w:after="120"/>
        <w:jc w:val="both"/>
        <w:rPr>
          <w:rFonts w:ascii="Arial" w:hAnsi="Arial" w:cs="Arial"/>
        </w:rPr>
      </w:pPr>
      <w:r w:rsidRPr="001017CD">
        <w:rPr>
          <w:rFonts w:ascii="Arial" w:hAnsi="Arial" w:cs="Arial"/>
        </w:rPr>
        <w:t>A document which describes the role and function of the committee. The charter (also referred to as the “Terms of Reference”) should also cover the committee’s membership and quorum, how often it meets, how decisions are reached and whether they are “advisory” (which is the norm) or “executive”. The charter will make clear the need for confidentiality, the liability of the committee members, and the obligation to declare any conflicts of interests. The members of the committee will formally register their assent by confirming that they agree to be on the committee, and that they agree with the contents of the charter.</w:t>
      </w:r>
    </w:p>
    <w:p w14:paraId="77EF941C" w14:textId="4EB31E52" w:rsidR="00440F9B" w:rsidRPr="001017CD" w:rsidRDefault="00440F9B" w:rsidP="00440F9B">
      <w:pPr>
        <w:spacing w:after="120"/>
        <w:jc w:val="both"/>
        <w:rPr>
          <w:rFonts w:ascii="Arial" w:hAnsi="Arial" w:cs="Arial"/>
        </w:rPr>
      </w:pPr>
    </w:p>
    <w:p w14:paraId="489F07E8" w14:textId="17FF1A23" w:rsidR="004E6A78" w:rsidRPr="001017CD" w:rsidRDefault="004E6A78" w:rsidP="00440F9B">
      <w:pPr>
        <w:spacing w:after="120"/>
        <w:jc w:val="both"/>
        <w:rPr>
          <w:rFonts w:ascii="Arial" w:hAnsi="Arial" w:cs="Arial"/>
        </w:rPr>
      </w:pPr>
    </w:p>
    <w:p w14:paraId="309A75CD" w14:textId="30A5FF15" w:rsidR="004E6A78" w:rsidRPr="001017CD" w:rsidRDefault="004E6A78" w:rsidP="00440F9B">
      <w:pPr>
        <w:spacing w:after="120"/>
        <w:jc w:val="both"/>
        <w:rPr>
          <w:rFonts w:ascii="Arial" w:hAnsi="Arial" w:cs="Arial"/>
        </w:rPr>
      </w:pPr>
    </w:p>
    <w:p w14:paraId="6B3798A6" w14:textId="4EE81835" w:rsidR="004E6A78" w:rsidRPr="001017CD" w:rsidRDefault="004E6A78" w:rsidP="00440F9B">
      <w:pPr>
        <w:spacing w:after="120"/>
        <w:jc w:val="both"/>
        <w:rPr>
          <w:rFonts w:ascii="Arial" w:hAnsi="Arial" w:cs="Arial"/>
        </w:rPr>
      </w:pPr>
    </w:p>
    <w:p w14:paraId="38F5857E" w14:textId="3E0EFD41" w:rsidR="004E6A78" w:rsidRPr="001017CD" w:rsidRDefault="004E6A78" w:rsidP="00440F9B">
      <w:pPr>
        <w:spacing w:after="120"/>
        <w:jc w:val="both"/>
        <w:rPr>
          <w:rFonts w:ascii="Arial" w:hAnsi="Arial" w:cs="Arial"/>
        </w:rPr>
      </w:pPr>
    </w:p>
    <w:p w14:paraId="60166F38" w14:textId="5F48897B" w:rsidR="004E6A78" w:rsidRDefault="004E6A78" w:rsidP="00440F9B">
      <w:pPr>
        <w:spacing w:after="120"/>
        <w:jc w:val="both"/>
        <w:rPr>
          <w:rFonts w:ascii="Arial" w:hAnsi="Arial" w:cs="Arial"/>
        </w:rPr>
      </w:pPr>
    </w:p>
    <w:p w14:paraId="7CCF1B15" w14:textId="77777777" w:rsidR="001017CD" w:rsidRPr="001017CD" w:rsidRDefault="001017CD" w:rsidP="00440F9B">
      <w:pPr>
        <w:spacing w:after="120"/>
        <w:jc w:val="both"/>
        <w:rPr>
          <w:rFonts w:ascii="Arial" w:hAnsi="Arial" w:cs="Arial"/>
        </w:rPr>
      </w:pPr>
    </w:p>
    <w:p w14:paraId="6B9DE919" w14:textId="24044F3B" w:rsidR="004E6A78" w:rsidRPr="001017CD" w:rsidRDefault="004E6A78" w:rsidP="00440F9B">
      <w:pPr>
        <w:spacing w:after="120"/>
        <w:jc w:val="both"/>
        <w:rPr>
          <w:rFonts w:ascii="Arial" w:hAnsi="Arial" w:cs="Arial"/>
        </w:rPr>
      </w:pPr>
    </w:p>
    <w:p w14:paraId="54605AAE" w14:textId="0F83B3A9" w:rsidR="004E6A78" w:rsidRPr="001017CD" w:rsidRDefault="004E6A78" w:rsidP="00440F9B">
      <w:pPr>
        <w:spacing w:after="120"/>
        <w:jc w:val="both"/>
        <w:rPr>
          <w:rFonts w:ascii="Arial" w:hAnsi="Arial" w:cs="Arial"/>
        </w:rPr>
      </w:pPr>
    </w:p>
    <w:p w14:paraId="01A2A666" w14:textId="720CFBE0" w:rsidR="00440F9B" w:rsidRPr="001017CD" w:rsidRDefault="00440F9B" w:rsidP="001017CD">
      <w:pPr>
        <w:pStyle w:val="Heading1"/>
        <w:jc w:val="center"/>
        <w:rPr>
          <w:rFonts w:ascii="Arial" w:hAnsi="Arial" w:cs="Arial"/>
          <w:b/>
          <w:color w:val="000000"/>
        </w:rPr>
      </w:pPr>
      <w:bookmarkStart w:id="5" w:name="_Toc117587501"/>
      <w:r w:rsidRPr="001017CD">
        <w:rPr>
          <w:rFonts w:ascii="Arial" w:hAnsi="Arial" w:cs="Arial"/>
          <w:b/>
          <w:color w:val="000000"/>
        </w:rPr>
        <w:lastRenderedPageBreak/>
        <w:t>Trial Management Group Remit</w:t>
      </w:r>
      <w:bookmarkEnd w:id="5"/>
    </w:p>
    <w:p w14:paraId="57D6534C" w14:textId="77777777" w:rsidR="00440F9B" w:rsidRPr="001017CD" w:rsidRDefault="00440F9B" w:rsidP="00440F9B">
      <w:pPr>
        <w:jc w:val="center"/>
        <w:rPr>
          <w:rFonts w:ascii="Arial" w:hAnsi="Arial" w:cs="Arial"/>
          <w:b/>
          <w:color w:val="000000"/>
          <w:highlight w:val="yellow"/>
        </w:rPr>
      </w:pPr>
    </w:p>
    <w:p w14:paraId="544665F2" w14:textId="77777777" w:rsidR="00440F9B" w:rsidRPr="001017CD" w:rsidRDefault="00440F9B" w:rsidP="00440F9B">
      <w:pPr>
        <w:rPr>
          <w:rFonts w:ascii="Arial" w:hAnsi="Arial" w:cs="Arial"/>
          <w:b/>
          <w:color w:val="000000"/>
        </w:rPr>
      </w:pPr>
      <w:r w:rsidRPr="001017CD">
        <w:rPr>
          <w:rFonts w:ascii="Arial" w:hAnsi="Arial" w:cs="Arial"/>
          <w:b/>
          <w:color w:val="000000"/>
        </w:rPr>
        <w:t>Study Title:</w:t>
      </w:r>
    </w:p>
    <w:p w14:paraId="2BC1EA54" w14:textId="77777777" w:rsidR="00440F9B" w:rsidRPr="001017CD" w:rsidRDefault="00440F9B" w:rsidP="00440F9B">
      <w:pPr>
        <w:rPr>
          <w:rFonts w:ascii="Arial" w:hAnsi="Arial" w:cs="Arial"/>
          <w:b/>
          <w:color w:val="000000"/>
        </w:rPr>
      </w:pPr>
      <w:r w:rsidRPr="001017CD">
        <w:rPr>
          <w:rFonts w:ascii="Arial" w:hAnsi="Arial" w:cs="Arial"/>
          <w:b/>
          <w:color w:val="000000"/>
        </w:rPr>
        <w:t>Chief Investigator:</w:t>
      </w:r>
    </w:p>
    <w:p w14:paraId="49476431" w14:textId="77777777" w:rsidR="00440F9B" w:rsidRPr="001017CD" w:rsidRDefault="00440F9B" w:rsidP="00440F9B">
      <w:pPr>
        <w:rPr>
          <w:rFonts w:ascii="Arial" w:hAnsi="Arial" w:cs="Arial"/>
          <w:b/>
          <w:color w:val="000000"/>
        </w:rPr>
      </w:pPr>
      <w:r w:rsidRPr="001017CD">
        <w:rPr>
          <w:rFonts w:ascii="Arial" w:hAnsi="Arial" w:cs="Arial"/>
          <w:b/>
          <w:color w:val="000000"/>
        </w:rPr>
        <w:t>Study Sponsor:</w:t>
      </w:r>
    </w:p>
    <w:p w14:paraId="52DB972C" w14:textId="77777777" w:rsidR="00440F9B" w:rsidRPr="001017CD" w:rsidRDefault="00440F9B" w:rsidP="00440F9B">
      <w:pPr>
        <w:rPr>
          <w:rFonts w:ascii="Arial" w:hAnsi="Arial" w:cs="Arial"/>
          <w:b/>
          <w:color w:val="000000"/>
        </w:rPr>
      </w:pPr>
      <w:r w:rsidRPr="001017CD">
        <w:rPr>
          <w:rFonts w:ascii="Arial" w:hAnsi="Arial" w:cs="Arial"/>
          <w:b/>
          <w:color w:val="000000"/>
        </w:rPr>
        <w:t>Sponsor Reference:</w:t>
      </w:r>
    </w:p>
    <w:p w14:paraId="4D4357FD" w14:textId="77777777" w:rsidR="00440F9B" w:rsidRPr="001017CD" w:rsidRDefault="00440F9B" w:rsidP="00440F9B">
      <w:pPr>
        <w:pStyle w:val="Default"/>
        <w:rPr>
          <w:sz w:val="22"/>
          <w:szCs w:val="22"/>
          <w:u w:val="single"/>
        </w:rPr>
      </w:pPr>
    </w:p>
    <w:p w14:paraId="2B93590E" w14:textId="77777777" w:rsidR="00440F9B" w:rsidRPr="001017CD" w:rsidRDefault="00440F9B" w:rsidP="00440F9B">
      <w:pPr>
        <w:pStyle w:val="Default"/>
        <w:rPr>
          <w:sz w:val="22"/>
          <w:szCs w:val="22"/>
          <w:u w:val="single"/>
        </w:rPr>
      </w:pPr>
      <w:r w:rsidRPr="001017CD">
        <w:rPr>
          <w:sz w:val="22"/>
          <w:szCs w:val="22"/>
          <w:u w:val="single"/>
        </w:rPr>
        <w:t>TMG Members:</w:t>
      </w:r>
    </w:p>
    <w:p w14:paraId="4ECC4740" w14:textId="77777777" w:rsidR="00440F9B" w:rsidRPr="001017CD" w:rsidRDefault="00440F9B" w:rsidP="00440F9B">
      <w:pPr>
        <w:pStyle w:val="Defaul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0"/>
        <w:gridCol w:w="2291"/>
        <w:gridCol w:w="2269"/>
        <w:gridCol w:w="2236"/>
      </w:tblGrid>
      <w:tr w:rsidR="00440F9B" w:rsidRPr="001017CD" w14:paraId="59CD1D20" w14:textId="77777777" w:rsidTr="00400526">
        <w:tc>
          <w:tcPr>
            <w:tcW w:w="2378" w:type="dxa"/>
          </w:tcPr>
          <w:p w14:paraId="0DD641F0" w14:textId="77777777" w:rsidR="00440F9B" w:rsidRPr="001017CD" w:rsidRDefault="00440F9B" w:rsidP="00400526">
            <w:pPr>
              <w:pStyle w:val="Default"/>
              <w:rPr>
                <w:sz w:val="22"/>
                <w:szCs w:val="22"/>
              </w:rPr>
            </w:pPr>
            <w:r w:rsidRPr="001017CD">
              <w:rPr>
                <w:sz w:val="22"/>
                <w:szCs w:val="22"/>
              </w:rPr>
              <w:t>Name</w:t>
            </w:r>
          </w:p>
        </w:tc>
        <w:tc>
          <w:tcPr>
            <w:tcW w:w="2411" w:type="dxa"/>
          </w:tcPr>
          <w:p w14:paraId="6FAC45F0" w14:textId="77777777" w:rsidR="00440F9B" w:rsidRPr="001017CD" w:rsidRDefault="00440F9B" w:rsidP="00400526">
            <w:pPr>
              <w:pStyle w:val="Default"/>
              <w:rPr>
                <w:sz w:val="22"/>
                <w:szCs w:val="22"/>
              </w:rPr>
            </w:pPr>
            <w:r w:rsidRPr="001017CD">
              <w:rPr>
                <w:sz w:val="22"/>
                <w:szCs w:val="22"/>
              </w:rPr>
              <w:t>Role</w:t>
            </w:r>
          </w:p>
        </w:tc>
        <w:tc>
          <w:tcPr>
            <w:tcW w:w="2401" w:type="dxa"/>
          </w:tcPr>
          <w:p w14:paraId="3F03F968" w14:textId="77777777" w:rsidR="00440F9B" w:rsidRPr="001017CD" w:rsidRDefault="00440F9B" w:rsidP="00400526">
            <w:pPr>
              <w:pStyle w:val="Default"/>
              <w:rPr>
                <w:sz w:val="22"/>
                <w:szCs w:val="22"/>
              </w:rPr>
            </w:pPr>
            <w:r w:rsidRPr="001017CD">
              <w:rPr>
                <w:sz w:val="22"/>
                <w:szCs w:val="22"/>
              </w:rPr>
              <w:t>Institution</w:t>
            </w:r>
          </w:p>
        </w:tc>
        <w:tc>
          <w:tcPr>
            <w:tcW w:w="2386" w:type="dxa"/>
          </w:tcPr>
          <w:p w14:paraId="1683CFF1" w14:textId="77777777" w:rsidR="00440F9B" w:rsidRPr="001017CD" w:rsidRDefault="00440F9B" w:rsidP="00400526">
            <w:pPr>
              <w:pStyle w:val="Default"/>
              <w:rPr>
                <w:sz w:val="22"/>
                <w:szCs w:val="22"/>
              </w:rPr>
            </w:pPr>
            <w:r w:rsidRPr="001017CD">
              <w:rPr>
                <w:sz w:val="22"/>
                <w:szCs w:val="22"/>
              </w:rPr>
              <w:t>Contact Details</w:t>
            </w:r>
          </w:p>
        </w:tc>
      </w:tr>
      <w:tr w:rsidR="00440F9B" w:rsidRPr="001017CD" w14:paraId="50B16124" w14:textId="77777777" w:rsidTr="00400526">
        <w:tc>
          <w:tcPr>
            <w:tcW w:w="2378" w:type="dxa"/>
          </w:tcPr>
          <w:p w14:paraId="2CE346E4" w14:textId="77777777" w:rsidR="00440F9B" w:rsidRPr="001017CD" w:rsidRDefault="00440F9B" w:rsidP="00400526">
            <w:pPr>
              <w:pStyle w:val="Default"/>
              <w:rPr>
                <w:sz w:val="22"/>
                <w:szCs w:val="22"/>
              </w:rPr>
            </w:pPr>
            <w:r w:rsidRPr="001017CD">
              <w:rPr>
                <w:sz w:val="22"/>
                <w:szCs w:val="22"/>
              </w:rPr>
              <w:t>(Chair)</w:t>
            </w:r>
          </w:p>
        </w:tc>
        <w:tc>
          <w:tcPr>
            <w:tcW w:w="2411" w:type="dxa"/>
          </w:tcPr>
          <w:p w14:paraId="262372BE" w14:textId="77777777" w:rsidR="00440F9B" w:rsidRPr="001017CD" w:rsidRDefault="00440F9B" w:rsidP="00400526">
            <w:pPr>
              <w:pStyle w:val="Default"/>
              <w:rPr>
                <w:sz w:val="22"/>
                <w:szCs w:val="22"/>
              </w:rPr>
            </w:pPr>
            <w:r w:rsidRPr="001017CD">
              <w:rPr>
                <w:sz w:val="22"/>
                <w:szCs w:val="22"/>
              </w:rPr>
              <w:t>CI</w:t>
            </w:r>
          </w:p>
        </w:tc>
        <w:tc>
          <w:tcPr>
            <w:tcW w:w="2401" w:type="dxa"/>
          </w:tcPr>
          <w:p w14:paraId="38F5BBAA" w14:textId="77777777" w:rsidR="00440F9B" w:rsidRPr="001017CD" w:rsidRDefault="00440F9B" w:rsidP="00400526">
            <w:pPr>
              <w:pStyle w:val="Default"/>
              <w:rPr>
                <w:sz w:val="22"/>
                <w:szCs w:val="22"/>
              </w:rPr>
            </w:pPr>
          </w:p>
        </w:tc>
        <w:tc>
          <w:tcPr>
            <w:tcW w:w="2386" w:type="dxa"/>
          </w:tcPr>
          <w:p w14:paraId="462D3E07" w14:textId="77777777" w:rsidR="00440F9B" w:rsidRPr="001017CD" w:rsidRDefault="00440F9B" w:rsidP="00400526">
            <w:pPr>
              <w:pStyle w:val="Default"/>
              <w:rPr>
                <w:sz w:val="22"/>
                <w:szCs w:val="22"/>
              </w:rPr>
            </w:pPr>
          </w:p>
        </w:tc>
      </w:tr>
      <w:tr w:rsidR="00440F9B" w:rsidRPr="001017CD" w14:paraId="7DE60FC3" w14:textId="77777777" w:rsidTr="00400526">
        <w:tc>
          <w:tcPr>
            <w:tcW w:w="2378" w:type="dxa"/>
          </w:tcPr>
          <w:p w14:paraId="3FE890AC" w14:textId="77777777" w:rsidR="00440F9B" w:rsidRPr="001017CD" w:rsidRDefault="00440F9B" w:rsidP="00400526">
            <w:pPr>
              <w:pStyle w:val="Default"/>
              <w:rPr>
                <w:sz w:val="22"/>
                <w:szCs w:val="22"/>
              </w:rPr>
            </w:pPr>
          </w:p>
        </w:tc>
        <w:tc>
          <w:tcPr>
            <w:tcW w:w="2411" w:type="dxa"/>
          </w:tcPr>
          <w:p w14:paraId="5802F438" w14:textId="77777777" w:rsidR="00440F9B" w:rsidRPr="001017CD" w:rsidRDefault="00440F9B" w:rsidP="00400526">
            <w:pPr>
              <w:pStyle w:val="Default"/>
              <w:rPr>
                <w:sz w:val="22"/>
                <w:szCs w:val="22"/>
              </w:rPr>
            </w:pPr>
            <w:r w:rsidRPr="001017CD">
              <w:rPr>
                <w:sz w:val="22"/>
                <w:szCs w:val="22"/>
              </w:rPr>
              <w:t>Trial Statistician</w:t>
            </w:r>
          </w:p>
        </w:tc>
        <w:tc>
          <w:tcPr>
            <w:tcW w:w="2401" w:type="dxa"/>
          </w:tcPr>
          <w:p w14:paraId="045FEB1A" w14:textId="77777777" w:rsidR="00440F9B" w:rsidRPr="001017CD" w:rsidRDefault="00440F9B" w:rsidP="00400526">
            <w:pPr>
              <w:pStyle w:val="Default"/>
              <w:rPr>
                <w:sz w:val="22"/>
                <w:szCs w:val="22"/>
              </w:rPr>
            </w:pPr>
          </w:p>
        </w:tc>
        <w:tc>
          <w:tcPr>
            <w:tcW w:w="2386" w:type="dxa"/>
          </w:tcPr>
          <w:p w14:paraId="6ECB075B" w14:textId="77777777" w:rsidR="00440F9B" w:rsidRPr="001017CD" w:rsidRDefault="00440F9B" w:rsidP="00400526">
            <w:pPr>
              <w:pStyle w:val="Default"/>
              <w:rPr>
                <w:sz w:val="22"/>
                <w:szCs w:val="22"/>
              </w:rPr>
            </w:pPr>
          </w:p>
        </w:tc>
      </w:tr>
      <w:tr w:rsidR="00440F9B" w:rsidRPr="001017CD" w14:paraId="20C0FD0E" w14:textId="77777777" w:rsidTr="00400526">
        <w:trPr>
          <w:trHeight w:val="198"/>
        </w:trPr>
        <w:tc>
          <w:tcPr>
            <w:tcW w:w="9576" w:type="dxa"/>
            <w:gridSpan w:val="4"/>
          </w:tcPr>
          <w:p w14:paraId="7DF7A6A5" w14:textId="77777777" w:rsidR="00440F9B" w:rsidRPr="001017CD" w:rsidRDefault="00440F9B" w:rsidP="00400526">
            <w:pPr>
              <w:pStyle w:val="Default"/>
              <w:rPr>
                <w:sz w:val="22"/>
                <w:szCs w:val="22"/>
              </w:rPr>
            </w:pPr>
            <w:r w:rsidRPr="001017CD">
              <w:rPr>
                <w:i/>
                <w:sz w:val="22"/>
                <w:szCs w:val="22"/>
                <w:highlight w:val="yellow"/>
              </w:rPr>
              <w:t>Add more rows as applicable</w:t>
            </w:r>
          </w:p>
        </w:tc>
      </w:tr>
    </w:tbl>
    <w:p w14:paraId="26B8D855" w14:textId="77777777" w:rsidR="00440F9B" w:rsidRPr="001017CD" w:rsidRDefault="00440F9B" w:rsidP="00440F9B">
      <w:pPr>
        <w:pStyle w:val="Default"/>
        <w:rPr>
          <w:sz w:val="22"/>
          <w:szCs w:val="22"/>
        </w:rPr>
      </w:pPr>
    </w:p>
    <w:p w14:paraId="1C4FEAFB" w14:textId="77777777" w:rsidR="00440F9B" w:rsidRPr="001017CD" w:rsidRDefault="00440F9B" w:rsidP="00440F9B">
      <w:pPr>
        <w:pStyle w:val="Default"/>
        <w:rPr>
          <w:sz w:val="22"/>
          <w:szCs w:val="22"/>
          <w:u w:val="single"/>
        </w:rPr>
      </w:pPr>
      <w:r w:rsidRPr="001017CD">
        <w:rPr>
          <w:sz w:val="22"/>
          <w:szCs w:val="22"/>
          <w:u w:val="single"/>
        </w:rPr>
        <w:t>TMG Role:</w:t>
      </w:r>
    </w:p>
    <w:p w14:paraId="40F65834" w14:textId="77777777" w:rsidR="00440F9B" w:rsidRPr="001017CD" w:rsidRDefault="00440F9B" w:rsidP="00440F9B">
      <w:pPr>
        <w:pStyle w:val="Default"/>
        <w:rPr>
          <w:sz w:val="22"/>
          <w:szCs w:val="22"/>
        </w:rPr>
      </w:pPr>
    </w:p>
    <w:p w14:paraId="45A2A57F" w14:textId="77777777" w:rsidR="00440F9B" w:rsidRPr="001017CD" w:rsidRDefault="00440F9B" w:rsidP="00440F9B">
      <w:pPr>
        <w:pStyle w:val="Default"/>
        <w:rPr>
          <w:sz w:val="22"/>
          <w:szCs w:val="22"/>
        </w:rPr>
      </w:pPr>
      <w:r w:rsidRPr="001017CD">
        <w:rPr>
          <w:sz w:val="22"/>
          <w:szCs w:val="22"/>
        </w:rPr>
        <w:t>For this study the TMG will:</w:t>
      </w:r>
    </w:p>
    <w:p w14:paraId="0BB3D47A" w14:textId="77777777" w:rsidR="00440F9B" w:rsidRPr="001017CD" w:rsidRDefault="00440F9B" w:rsidP="00440F9B">
      <w:pPr>
        <w:pStyle w:val="Default"/>
        <w:numPr>
          <w:ilvl w:val="0"/>
          <w:numId w:val="1"/>
        </w:numPr>
        <w:rPr>
          <w:sz w:val="22"/>
          <w:szCs w:val="22"/>
        </w:rPr>
      </w:pPr>
      <w:r w:rsidRPr="001017CD">
        <w:rPr>
          <w:sz w:val="22"/>
          <w:szCs w:val="22"/>
        </w:rPr>
        <w:t>Oversee the day to day running of the trial, ensuring that the trial is running to timelines and budget</w:t>
      </w:r>
    </w:p>
    <w:p w14:paraId="0CEB0FE9" w14:textId="77777777" w:rsidR="00440F9B" w:rsidRPr="001017CD" w:rsidRDefault="00440F9B" w:rsidP="00440F9B">
      <w:pPr>
        <w:pStyle w:val="Default"/>
        <w:numPr>
          <w:ilvl w:val="0"/>
          <w:numId w:val="1"/>
        </w:numPr>
        <w:rPr>
          <w:sz w:val="22"/>
          <w:szCs w:val="22"/>
        </w:rPr>
      </w:pPr>
      <w:r w:rsidRPr="001017CD">
        <w:rPr>
          <w:sz w:val="22"/>
          <w:szCs w:val="22"/>
        </w:rPr>
        <w:t>Ensure all trial procedures are adhered to at sites</w:t>
      </w:r>
    </w:p>
    <w:p w14:paraId="30CE0AFA" w14:textId="77777777" w:rsidR="00440F9B" w:rsidRPr="001017CD" w:rsidRDefault="00440F9B" w:rsidP="00440F9B">
      <w:pPr>
        <w:pStyle w:val="Default"/>
        <w:numPr>
          <w:ilvl w:val="0"/>
          <w:numId w:val="1"/>
        </w:numPr>
        <w:rPr>
          <w:sz w:val="22"/>
          <w:szCs w:val="22"/>
        </w:rPr>
      </w:pPr>
      <w:r w:rsidRPr="001017CD">
        <w:rPr>
          <w:sz w:val="22"/>
          <w:szCs w:val="22"/>
        </w:rPr>
        <w:t xml:space="preserve">Ensure all trial management activities are adhered to at the coordinating centre (including, but not limited </w:t>
      </w:r>
      <w:proofErr w:type="gramStart"/>
      <w:r w:rsidRPr="001017CD">
        <w:rPr>
          <w:sz w:val="22"/>
          <w:szCs w:val="22"/>
        </w:rPr>
        <w:t>to:</w:t>
      </w:r>
      <w:proofErr w:type="gramEnd"/>
      <w:r w:rsidRPr="001017CD">
        <w:rPr>
          <w:sz w:val="22"/>
          <w:szCs w:val="22"/>
        </w:rPr>
        <w:t xml:space="preserve"> documentation, monitoring, data management, statistical analysis etc)</w:t>
      </w:r>
    </w:p>
    <w:p w14:paraId="6B87EE89" w14:textId="77777777" w:rsidR="00440F9B" w:rsidRPr="001017CD" w:rsidRDefault="00440F9B" w:rsidP="00440F9B">
      <w:pPr>
        <w:pStyle w:val="Default"/>
        <w:numPr>
          <w:ilvl w:val="0"/>
          <w:numId w:val="1"/>
        </w:numPr>
        <w:rPr>
          <w:sz w:val="22"/>
          <w:szCs w:val="22"/>
          <w:highlight w:val="yellow"/>
        </w:rPr>
      </w:pPr>
      <w:r w:rsidRPr="001017CD">
        <w:rPr>
          <w:sz w:val="22"/>
          <w:szCs w:val="22"/>
          <w:highlight w:val="yellow"/>
        </w:rPr>
        <w:t>Insert any study specific roles</w:t>
      </w:r>
    </w:p>
    <w:p w14:paraId="58D6F62E" w14:textId="77777777" w:rsidR="00440F9B" w:rsidRPr="001017CD" w:rsidRDefault="00440F9B" w:rsidP="00440F9B">
      <w:pPr>
        <w:pStyle w:val="Default"/>
        <w:rPr>
          <w:sz w:val="22"/>
          <w:szCs w:val="22"/>
        </w:rPr>
      </w:pPr>
    </w:p>
    <w:p w14:paraId="49AF18A7" w14:textId="77777777" w:rsidR="00440F9B" w:rsidRPr="001017CD" w:rsidRDefault="00440F9B" w:rsidP="00440F9B">
      <w:pPr>
        <w:pStyle w:val="Default"/>
        <w:rPr>
          <w:sz w:val="22"/>
          <w:szCs w:val="22"/>
          <w:u w:val="single"/>
        </w:rPr>
      </w:pPr>
      <w:r w:rsidRPr="001017CD">
        <w:rPr>
          <w:sz w:val="22"/>
          <w:szCs w:val="22"/>
          <w:u w:val="single"/>
        </w:rPr>
        <w:t>TMG Meetings:</w:t>
      </w:r>
    </w:p>
    <w:p w14:paraId="5D51A59E" w14:textId="77777777" w:rsidR="00440F9B" w:rsidRPr="001017CD" w:rsidRDefault="00440F9B" w:rsidP="00440F9B">
      <w:pPr>
        <w:pStyle w:val="Default"/>
        <w:rPr>
          <w:sz w:val="22"/>
          <w:szCs w:val="22"/>
        </w:rPr>
      </w:pPr>
    </w:p>
    <w:p w14:paraId="204B8E45" w14:textId="77777777" w:rsidR="00440F9B" w:rsidRPr="001017CD" w:rsidRDefault="00440F9B" w:rsidP="00440F9B">
      <w:pPr>
        <w:pStyle w:val="Default"/>
        <w:rPr>
          <w:sz w:val="22"/>
          <w:szCs w:val="22"/>
        </w:rPr>
      </w:pPr>
      <w:r w:rsidRPr="001017CD">
        <w:rPr>
          <w:sz w:val="22"/>
          <w:szCs w:val="22"/>
        </w:rPr>
        <w:t xml:space="preserve">The TMG will meet every </w:t>
      </w:r>
      <w:r w:rsidRPr="001017CD">
        <w:rPr>
          <w:sz w:val="22"/>
          <w:szCs w:val="22"/>
          <w:highlight w:val="yellow"/>
        </w:rPr>
        <w:t>&lt;&lt;insert&gt;&gt;</w:t>
      </w:r>
      <w:r w:rsidRPr="001017CD">
        <w:rPr>
          <w:sz w:val="22"/>
          <w:szCs w:val="22"/>
        </w:rPr>
        <w:t xml:space="preserve"> months at a minimum.</w:t>
      </w:r>
    </w:p>
    <w:p w14:paraId="0D9DA7D0" w14:textId="77777777" w:rsidR="00440F9B" w:rsidRPr="001017CD" w:rsidRDefault="00440F9B" w:rsidP="00440F9B">
      <w:pPr>
        <w:pStyle w:val="Default"/>
        <w:rPr>
          <w:sz w:val="22"/>
          <w:szCs w:val="22"/>
        </w:rPr>
      </w:pPr>
      <w:r w:rsidRPr="001017CD">
        <w:rPr>
          <w:sz w:val="22"/>
          <w:szCs w:val="22"/>
        </w:rPr>
        <w:t>The TMG may be convened in the event of any safety concerns raised by the trial.</w:t>
      </w:r>
    </w:p>
    <w:p w14:paraId="743B999F" w14:textId="77777777" w:rsidR="00440F9B" w:rsidRPr="001017CD" w:rsidRDefault="00440F9B" w:rsidP="00440F9B">
      <w:pPr>
        <w:pStyle w:val="Default"/>
        <w:rPr>
          <w:sz w:val="22"/>
          <w:szCs w:val="22"/>
        </w:rPr>
      </w:pPr>
      <w:r w:rsidRPr="001017CD">
        <w:rPr>
          <w:sz w:val="22"/>
          <w:szCs w:val="22"/>
        </w:rPr>
        <w:t>TMG Meetings will be by teleconference of face-to-face.</w:t>
      </w:r>
    </w:p>
    <w:p w14:paraId="2D815868" w14:textId="77777777" w:rsidR="00440F9B" w:rsidRPr="001017CD" w:rsidRDefault="00440F9B" w:rsidP="00440F9B">
      <w:pPr>
        <w:pStyle w:val="Default"/>
        <w:rPr>
          <w:sz w:val="22"/>
          <w:szCs w:val="22"/>
        </w:rPr>
      </w:pPr>
    </w:p>
    <w:p w14:paraId="56295A22" w14:textId="77777777" w:rsidR="00440F9B" w:rsidRPr="001017CD" w:rsidRDefault="00440F9B" w:rsidP="00440F9B">
      <w:pPr>
        <w:pStyle w:val="Default"/>
        <w:rPr>
          <w:sz w:val="22"/>
          <w:szCs w:val="22"/>
        </w:rPr>
      </w:pPr>
      <w:r w:rsidRPr="001017CD">
        <w:rPr>
          <w:sz w:val="22"/>
          <w:szCs w:val="22"/>
        </w:rPr>
        <w:t>The following information will be provided in advance of each TMG Meeting:</w:t>
      </w:r>
    </w:p>
    <w:p w14:paraId="0B73A7B7" w14:textId="77777777" w:rsidR="00440F9B" w:rsidRPr="001017CD" w:rsidRDefault="00440F9B" w:rsidP="00440F9B">
      <w:pPr>
        <w:pStyle w:val="Default"/>
        <w:numPr>
          <w:ilvl w:val="0"/>
          <w:numId w:val="2"/>
        </w:numPr>
        <w:rPr>
          <w:sz w:val="22"/>
          <w:szCs w:val="22"/>
        </w:rPr>
      </w:pPr>
      <w:r w:rsidRPr="001017CD">
        <w:rPr>
          <w:sz w:val="22"/>
          <w:szCs w:val="22"/>
        </w:rPr>
        <w:t>Participating sites update (in set-up, open, closed)</w:t>
      </w:r>
    </w:p>
    <w:p w14:paraId="6EF5D764" w14:textId="77777777" w:rsidR="00440F9B" w:rsidRPr="001017CD" w:rsidRDefault="00440F9B" w:rsidP="00440F9B">
      <w:pPr>
        <w:pStyle w:val="Default"/>
        <w:numPr>
          <w:ilvl w:val="0"/>
          <w:numId w:val="2"/>
        </w:numPr>
        <w:rPr>
          <w:sz w:val="22"/>
          <w:szCs w:val="22"/>
        </w:rPr>
      </w:pPr>
      <w:r w:rsidRPr="001017CD">
        <w:rPr>
          <w:sz w:val="22"/>
          <w:szCs w:val="22"/>
        </w:rPr>
        <w:t>Recruitment update (screened, enrolled, withdrawn, completed, deaths)</w:t>
      </w:r>
    </w:p>
    <w:p w14:paraId="68551535" w14:textId="77777777" w:rsidR="00440F9B" w:rsidRPr="001017CD" w:rsidRDefault="00440F9B" w:rsidP="00440F9B">
      <w:pPr>
        <w:pStyle w:val="Default"/>
        <w:numPr>
          <w:ilvl w:val="0"/>
          <w:numId w:val="2"/>
        </w:numPr>
        <w:rPr>
          <w:sz w:val="22"/>
          <w:szCs w:val="22"/>
        </w:rPr>
      </w:pPr>
      <w:r w:rsidRPr="001017CD">
        <w:rPr>
          <w:sz w:val="22"/>
          <w:szCs w:val="22"/>
        </w:rPr>
        <w:t>Safety (SAE and SUSAR line listings)</w:t>
      </w:r>
    </w:p>
    <w:p w14:paraId="231B7217" w14:textId="77777777" w:rsidR="00440F9B" w:rsidRPr="001017CD" w:rsidRDefault="00440F9B" w:rsidP="00440F9B">
      <w:pPr>
        <w:pStyle w:val="Default"/>
        <w:numPr>
          <w:ilvl w:val="0"/>
          <w:numId w:val="2"/>
        </w:numPr>
        <w:rPr>
          <w:sz w:val="22"/>
          <w:szCs w:val="22"/>
        </w:rPr>
      </w:pPr>
      <w:r w:rsidRPr="001017CD">
        <w:rPr>
          <w:sz w:val="22"/>
          <w:szCs w:val="22"/>
        </w:rPr>
        <w:t>Updates from TSC and DMC Meetings</w:t>
      </w:r>
    </w:p>
    <w:p w14:paraId="6EF49C0B" w14:textId="77777777" w:rsidR="00440F9B" w:rsidRPr="001017CD" w:rsidRDefault="00440F9B" w:rsidP="00440F9B">
      <w:pPr>
        <w:pStyle w:val="Default"/>
        <w:numPr>
          <w:ilvl w:val="0"/>
          <w:numId w:val="2"/>
        </w:numPr>
        <w:rPr>
          <w:sz w:val="22"/>
          <w:szCs w:val="22"/>
        </w:rPr>
      </w:pPr>
      <w:r w:rsidRPr="001017CD">
        <w:rPr>
          <w:sz w:val="22"/>
          <w:szCs w:val="22"/>
        </w:rPr>
        <w:t>Annual reports (MHRA, REC, Study Funders)</w:t>
      </w:r>
    </w:p>
    <w:p w14:paraId="39133AF9" w14:textId="77777777" w:rsidR="00440F9B" w:rsidRPr="001017CD" w:rsidRDefault="00440F9B" w:rsidP="00440F9B">
      <w:pPr>
        <w:pStyle w:val="Default"/>
        <w:numPr>
          <w:ilvl w:val="0"/>
          <w:numId w:val="2"/>
        </w:numPr>
        <w:rPr>
          <w:sz w:val="22"/>
          <w:szCs w:val="22"/>
        </w:rPr>
      </w:pPr>
      <w:r w:rsidRPr="001017CD">
        <w:rPr>
          <w:sz w:val="22"/>
          <w:szCs w:val="22"/>
        </w:rPr>
        <w:t>Data (quality, missing data) and study database</w:t>
      </w:r>
    </w:p>
    <w:p w14:paraId="31CA285E" w14:textId="77777777" w:rsidR="00440F9B" w:rsidRPr="001017CD" w:rsidRDefault="00440F9B" w:rsidP="00440F9B">
      <w:pPr>
        <w:pStyle w:val="Default"/>
        <w:numPr>
          <w:ilvl w:val="0"/>
          <w:numId w:val="2"/>
        </w:numPr>
        <w:rPr>
          <w:sz w:val="22"/>
          <w:szCs w:val="22"/>
        </w:rPr>
      </w:pPr>
      <w:r w:rsidRPr="001017CD">
        <w:rPr>
          <w:sz w:val="22"/>
          <w:szCs w:val="22"/>
        </w:rPr>
        <w:t>Upcoming analyses</w:t>
      </w:r>
    </w:p>
    <w:p w14:paraId="337B63AF" w14:textId="77777777" w:rsidR="00440F9B" w:rsidRPr="001017CD" w:rsidRDefault="00440F9B" w:rsidP="00440F9B">
      <w:pPr>
        <w:pStyle w:val="Default"/>
        <w:numPr>
          <w:ilvl w:val="0"/>
          <w:numId w:val="2"/>
        </w:numPr>
        <w:rPr>
          <w:sz w:val="22"/>
          <w:szCs w:val="22"/>
        </w:rPr>
      </w:pPr>
      <w:r w:rsidRPr="001017CD">
        <w:rPr>
          <w:sz w:val="22"/>
          <w:szCs w:val="22"/>
        </w:rPr>
        <w:t>Monitoring (as per monitoring plan, issues)</w:t>
      </w:r>
    </w:p>
    <w:p w14:paraId="1FABF9A2" w14:textId="77777777" w:rsidR="00440F9B" w:rsidRPr="001017CD" w:rsidRDefault="00440F9B" w:rsidP="00440F9B">
      <w:pPr>
        <w:pStyle w:val="Default"/>
        <w:numPr>
          <w:ilvl w:val="0"/>
          <w:numId w:val="2"/>
        </w:numPr>
        <w:rPr>
          <w:sz w:val="22"/>
          <w:szCs w:val="22"/>
        </w:rPr>
      </w:pPr>
      <w:r w:rsidRPr="001017CD">
        <w:rPr>
          <w:sz w:val="22"/>
          <w:szCs w:val="22"/>
        </w:rPr>
        <w:t>Study documentation (amendments)</w:t>
      </w:r>
    </w:p>
    <w:p w14:paraId="23947327" w14:textId="77777777" w:rsidR="00440F9B" w:rsidRPr="001017CD" w:rsidRDefault="00440F9B" w:rsidP="00440F9B">
      <w:pPr>
        <w:pStyle w:val="Default"/>
        <w:numPr>
          <w:ilvl w:val="0"/>
          <w:numId w:val="2"/>
        </w:numPr>
        <w:rPr>
          <w:sz w:val="22"/>
          <w:szCs w:val="22"/>
        </w:rPr>
      </w:pPr>
      <w:r w:rsidRPr="001017CD">
        <w:rPr>
          <w:sz w:val="22"/>
          <w:szCs w:val="22"/>
        </w:rPr>
        <w:t>IMP changes/updates (updates from supplier)</w:t>
      </w:r>
    </w:p>
    <w:p w14:paraId="11125498" w14:textId="77777777" w:rsidR="00440F9B" w:rsidRPr="001017CD" w:rsidRDefault="00440F9B" w:rsidP="00440F9B">
      <w:pPr>
        <w:pStyle w:val="Default"/>
        <w:numPr>
          <w:ilvl w:val="0"/>
          <w:numId w:val="2"/>
        </w:numPr>
        <w:rPr>
          <w:sz w:val="22"/>
          <w:szCs w:val="22"/>
        </w:rPr>
      </w:pPr>
      <w:r w:rsidRPr="001017CD">
        <w:rPr>
          <w:sz w:val="22"/>
          <w:szCs w:val="22"/>
        </w:rPr>
        <w:t>Funding (status, updates)</w:t>
      </w:r>
    </w:p>
    <w:p w14:paraId="07441241" w14:textId="77777777" w:rsidR="00440F9B" w:rsidRPr="001017CD" w:rsidRDefault="00440F9B" w:rsidP="00440F9B">
      <w:pPr>
        <w:pStyle w:val="Default"/>
        <w:numPr>
          <w:ilvl w:val="0"/>
          <w:numId w:val="2"/>
        </w:numPr>
        <w:rPr>
          <w:sz w:val="22"/>
          <w:szCs w:val="22"/>
        </w:rPr>
      </w:pPr>
      <w:r w:rsidRPr="001017CD">
        <w:rPr>
          <w:sz w:val="22"/>
          <w:szCs w:val="22"/>
        </w:rPr>
        <w:t xml:space="preserve">Study concerns </w:t>
      </w:r>
      <w:proofErr w:type="spellStart"/>
      <w:r w:rsidRPr="001017CD">
        <w:rPr>
          <w:sz w:val="22"/>
          <w:szCs w:val="22"/>
        </w:rPr>
        <w:t>Ie</w:t>
      </w:r>
      <w:proofErr w:type="spellEnd"/>
      <w:r w:rsidRPr="001017CD">
        <w:rPr>
          <w:sz w:val="22"/>
          <w:szCs w:val="22"/>
        </w:rPr>
        <w:t xml:space="preserve"> resources</w:t>
      </w:r>
    </w:p>
    <w:p w14:paraId="597D0295" w14:textId="77777777" w:rsidR="00440F9B" w:rsidRPr="001017CD" w:rsidRDefault="00440F9B" w:rsidP="00440F9B">
      <w:pPr>
        <w:pStyle w:val="Default"/>
        <w:numPr>
          <w:ilvl w:val="0"/>
          <w:numId w:val="2"/>
        </w:numPr>
        <w:rPr>
          <w:sz w:val="22"/>
          <w:szCs w:val="22"/>
          <w:highlight w:val="yellow"/>
        </w:rPr>
      </w:pPr>
      <w:r w:rsidRPr="001017CD">
        <w:rPr>
          <w:sz w:val="22"/>
          <w:szCs w:val="22"/>
          <w:highlight w:val="yellow"/>
        </w:rPr>
        <w:t>Insert any other study specific updates that will be provided</w:t>
      </w:r>
    </w:p>
    <w:p w14:paraId="2BD8E619" w14:textId="77777777" w:rsidR="00440F9B" w:rsidRPr="001017CD" w:rsidRDefault="00440F9B" w:rsidP="00440F9B">
      <w:pPr>
        <w:pStyle w:val="Default"/>
        <w:rPr>
          <w:sz w:val="22"/>
          <w:szCs w:val="22"/>
        </w:rPr>
      </w:pPr>
    </w:p>
    <w:p w14:paraId="3B000A00" w14:textId="77777777" w:rsidR="00440F9B" w:rsidRPr="001017CD" w:rsidRDefault="00440F9B" w:rsidP="00440F9B">
      <w:pPr>
        <w:pStyle w:val="Default"/>
        <w:rPr>
          <w:sz w:val="22"/>
          <w:szCs w:val="22"/>
        </w:rPr>
      </w:pPr>
      <w:r w:rsidRPr="001017CD">
        <w:rPr>
          <w:sz w:val="22"/>
          <w:szCs w:val="22"/>
        </w:rPr>
        <w:t xml:space="preserve">TMG Meetings will be documented by the </w:t>
      </w:r>
      <w:r w:rsidRPr="001017CD">
        <w:rPr>
          <w:sz w:val="22"/>
          <w:szCs w:val="22"/>
          <w:highlight w:val="yellow"/>
        </w:rPr>
        <w:t>XXX.</w:t>
      </w:r>
    </w:p>
    <w:p w14:paraId="34A690D5" w14:textId="77777777" w:rsidR="00440F9B" w:rsidRPr="001017CD" w:rsidRDefault="00440F9B" w:rsidP="00440F9B">
      <w:pPr>
        <w:spacing w:after="120"/>
        <w:jc w:val="both"/>
        <w:rPr>
          <w:rFonts w:ascii="Arial" w:hAnsi="Arial" w:cs="Arial"/>
        </w:rPr>
      </w:pPr>
    </w:p>
    <w:sectPr w:rsidR="00440F9B" w:rsidRPr="001017C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E5AB8" w14:textId="77777777" w:rsidR="00C964C9" w:rsidRDefault="00C964C9" w:rsidP="004E6A78">
      <w:pPr>
        <w:spacing w:after="0" w:line="240" w:lineRule="auto"/>
      </w:pPr>
      <w:r>
        <w:separator/>
      </w:r>
    </w:p>
  </w:endnote>
  <w:endnote w:type="continuationSeparator" w:id="0">
    <w:p w14:paraId="7962B943" w14:textId="77777777" w:rsidR="00C964C9" w:rsidRDefault="00C964C9" w:rsidP="004E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045363967"/>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E620460" w14:textId="5FFA71F6" w:rsidR="001017CD" w:rsidRPr="001017CD" w:rsidRDefault="001017CD" w:rsidP="001017CD">
            <w:pPr>
              <w:pStyle w:val="Footer"/>
              <w:rPr>
                <w:rFonts w:ascii="Arial" w:hAnsi="Arial" w:cs="Arial"/>
                <w:sz w:val="16"/>
                <w:szCs w:val="16"/>
              </w:rPr>
            </w:pPr>
            <w:r w:rsidRPr="001017CD">
              <w:rPr>
                <w:rFonts w:ascii="Arial" w:hAnsi="Arial" w:cs="Arial"/>
                <w:sz w:val="16"/>
                <w:szCs w:val="16"/>
              </w:rPr>
              <w:t xml:space="preserve">SOP 47 Associated Document 1: Further guidance for Trial Committees </w:t>
            </w:r>
            <w:r w:rsidR="00D87CF1">
              <w:rPr>
                <w:rFonts w:ascii="Arial" w:hAnsi="Arial" w:cs="Arial"/>
                <w:sz w:val="16"/>
                <w:szCs w:val="16"/>
              </w:rPr>
              <w:t>v1.0 14.11.2022 FINAL</w:t>
            </w:r>
            <w:r>
              <w:rPr>
                <w:rFonts w:ascii="Arial" w:hAnsi="Arial" w:cs="Arial"/>
                <w:sz w:val="16"/>
                <w:szCs w:val="16"/>
              </w:rPr>
              <w:t xml:space="preserve">                     </w:t>
            </w:r>
            <w:r w:rsidRPr="001017CD">
              <w:rPr>
                <w:rFonts w:ascii="Arial" w:hAnsi="Arial" w:cs="Arial"/>
                <w:sz w:val="16"/>
                <w:szCs w:val="16"/>
              </w:rPr>
              <w:t xml:space="preserve">          Page </w:t>
            </w:r>
            <w:r w:rsidRPr="001017CD">
              <w:rPr>
                <w:rFonts w:ascii="Arial" w:hAnsi="Arial" w:cs="Arial"/>
                <w:sz w:val="16"/>
                <w:szCs w:val="16"/>
              </w:rPr>
              <w:fldChar w:fldCharType="begin"/>
            </w:r>
            <w:r w:rsidRPr="001017CD">
              <w:rPr>
                <w:rFonts w:ascii="Arial" w:hAnsi="Arial" w:cs="Arial"/>
                <w:sz w:val="16"/>
                <w:szCs w:val="16"/>
              </w:rPr>
              <w:instrText xml:space="preserve"> PAGE </w:instrText>
            </w:r>
            <w:r w:rsidRPr="001017CD">
              <w:rPr>
                <w:rFonts w:ascii="Arial" w:hAnsi="Arial" w:cs="Arial"/>
                <w:sz w:val="16"/>
                <w:szCs w:val="16"/>
              </w:rPr>
              <w:fldChar w:fldCharType="separate"/>
            </w:r>
            <w:r w:rsidRPr="001017CD">
              <w:rPr>
                <w:rFonts w:ascii="Arial" w:hAnsi="Arial" w:cs="Arial"/>
                <w:noProof/>
                <w:sz w:val="16"/>
                <w:szCs w:val="16"/>
              </w:rPr>
              <w:t>2</w:t>
            </w:r>
            <w:r w:rsidRPr="001017CD">
              <w:rPr>
                <w:rFonts w:ascii="Arial" w:hAnsi="Arial" w:cs="Arial"/>
                <w:sz w:val="16"/>
                <w:szCs w:val="16"/>
              </w:rPr>
              <w:fldChar w:fldCharType="end"/>
            </w:r>
            <w:r w:rsidRPr="001017CD">
              <w:rPr>
                <w:rFonts w:ascii="Arial" w:hAnsi="Arial" w:cs="Arial"/>
                <w:sz w:val="16"/>
                <w:szCs w:val="16"/>
              </w:rPr>
              <w:t xml:space="preserve"> of </w:t>
            </w:r>
            <w:r w:rsidRPr="001017CD">
              <w:rPr>
                <w:rFonts w:ascii="Arial" w:hAnsi="Arial" w:cs="Arial"/>
                <w:sz w:val="16"/>
                <w:szCs w:val="16"/>
              </w:rPr>
              <w:fldChar w:fldCharType="begin"/>
            </w:r>
            <w:r w:rsidRPr="001017CD">
              <w:rPr>
                <w:rFonts w:ascii="Arial" w:hAnsi="Arial" w:cs="Arial"/>
                <w:sz w:val="16"/>
                <w:szCs w:val="16"/>
              </w:rPr>
              <w:instrText xml:space="preserve"> NUMPAGES  </w:instrText>
            </w:r>
            <w:r w:rsidRPr="001017CD">
              <w:rPr>
                <w:rFonts w:ascii="Arial" w:hAnsi="Arial" w:cs="Arial"/>
                <w:sz w:val="16"/>
                <w:szCs w:val="16"/>
              </w:rPr>
              <w:fldChar w:fldCharType="separate"/>
            </w:r>
            <w:r w:rsidRPr="001017CD">
              <w:rPr>
                <w:rFonts w:ascii="Arial" w:hAnsi="Arial" w:cs="Arial"/>
                <w:noProof/>
                <w:sz w:val="16"/>
                <w:szCs w:val="16"/>
              </w:rPr>
              <w:t>2</w:t>
            </w:r>
            <w:r w:rsidRPr="001017CD">
              <w:rPr>
                <w:rFonts w:ascii="Arial" w:hAnsi="Arial" w:cs="Arial"/>
                <w:sz w:val="16"/>
                <w:szCs w:val="16"/>
              </w:rPr>
              <w:fldChar w:fldCharType="end"/>
            </w:r>
          </w:p>
        </w:sdtContent>
      </w:sdt>
    </w:sdtContent>
  </w:sdt>
  <w:p w14:paraId="152DB07E" w14:textId="77777777" w:rsidR="001017CD" w:rsidRPr="001017CD" w:rsidRDefault="001017CD">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130A" w14:textId="77777777" w:rsidR="00C964C9" w:rsidRDefault="00C964C9" w:rsidP="004E6A78">
      <w:pPr>
        <w:spacing w:after="0" w:line="240" w:lineRule="auto"/>
      </w:pPr>
      <w:r>
        <w:separator/>
      </w:r>
    </w:p>
  </w:footnote>
  <w:footnote w:type="continuationSeparator" w:id="0">
    <w:p w14:paraId="0AAFCF0D" w14:textId="77777777" w:rsidR="00C964C9" w:rsidRDefault="00C964C9" w:rsidP="004E6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0585" w14:textId="1E087DF5" w:rsidR="004E6A78" w:rsidRDefault="004E6A78" w:rsidP="004E6A78">
    <w:pPr>
      <w:pStyle w:val="Header"/>
      <w:tabs>
        <w:tab w:val="clear" w:pos="4513"/>
        <w:tab w:val="clear" w:pos="9026"/>
        <w:tab w:val="left" w:pos="6773"/>
      </w:tabs>
    </w:pPr>
    <w:r w:rsidRPr="000D6B25">
      <w:rPr>
        <w:noProof/>
        <w:lang w:eastAsia="en-GB"/>
      </w:rPr>
      <w:drawing>
        <wp:anchor distT="0" distB="0" distL="114300" distR="114300" simplePos="0" relativeHeight="251661312" behindDoc="1" locked="0" layoutInCell="1" allowOverlap="1" wp14:anchorId="74D6A502" wp14:editId="745735F2">
          <wp:simplePos x="0" y="0"/>
          <wp:positionH relativeFrom="column">
            <wp:posOffset>4732867</wp:posOffset>
          </wp:positionH>
          <wp:positionV relativeFrom="paragraph">
            <wp:posOffset>-339302</wp:posOffset>
          </wp:positionV>
          <wp:extent cx="1380490" cy="685165"/>
          <wp:effectExtent l="0" t="0" r="0" b="6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80490" cy="685165"/>
                  </a:xfrm>
                  <a:prstGeom prst="rect">
                    <a:avLst/>
                  </a:prstGeom>
                </pic:spPr>
              </pic:pic>
            </a:graphicData>
          </a:graphic>
          <wp14:sizeRelH relativeFrom="page">
            <wp14:pctWidth>0</wp14:pctWidth>
          </wp14:sizeRelH>
          <wp14:sizeRelV relativeFrom="page">
            <wp14:pctHeight>0</wp14:pctHeight>
          </wp14:sizeRelV>
        </wp:anchor>
      </w:drawing>
    </w:r>
    <w:r w:rsidRPr="000D6B25">
      <w:rPr>
        <w:noProof/>
        <w:lang w:eastAsia="en-GB"/>
      </w:rPr>
      <w:drawing>
        <wp:anchor distT="0" distB="0" distL="114300" distR="114300" simplePos="0" relativeHeight="251659264" behindDoc="1" locked="0" layoutInCell="1" allowOverlap="1" wp14:anchorId="04C0E690" wp14:editId="3BCA8B88">
          <wp:simplePos x="0" y="0"/>
          <wp:positionH relativeFrom="column">
            <wp:posOffset>-550333</wp:posOffset>
          </wp:positionH>
          <wp:positionV relativeFrom="paragraph">
            <wp:posOffset>-237702</wp:posOffset>
          </wp:positionV>
          <wp:extent cx="1904762" cy="504762"/>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04762" cy="504762"/>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90229"/>
    <w:multiLevelType w:val="hybridMultilevel"/>
    <w:tmpl w:val="C1B2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F60DBF"/>
    <w:multiLevelType w:val="hybridMultilevel"/>
    <w:tmpl w:val="1812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9B"/>
    <w:rsid w:val="001017CD"/>
    <w:rsid w:val="00440F9B"/>
    <w:rsid w:val="004E6A78"/>
    <w:rsid w:val="00620260"/>
    <w:rsid w:val="008F5444"/>
    <w:rsid w:val="00954FF4"/>
    <w:rsid w:val="00C964C9"/>
    <w:rsid w:val="00D87CF1"/>
    <w:rsid w:val="00EC4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3695"/>
  <w15:chartTrackingRefBased/>
  <w15:docId w15:val="{948CD105-EB62-4EF1-BAB9-76C3F072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6A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40F9B"/>
    <w:rPr>
      <w:sz w:val="16"/>
      <w:szCs w:val="16"/>
    </w:rPr>
  </w:style>
  <w:style w:type="paragraph" w:styleId="CommentText">
    <w:name w:val="annotation text"/>
    <w:basedOn w:val="Normal"/>
    <w:link w:val="CommentTextChar"/>
    <w:rsid w:val="00440F9B"/>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440F9B"/>
    <w:rPr>
      <w:rFonts w:ascii="Times New Roman" w:eastAsia="Times New Roman" w:hAnsi="Times New Roman" w:cs="Times New Roman"/>
      <w:sz w:val="20"/>
      <w:szCs w:val="20"/>
      <w:lang w:eastAsia="en-GB"/>
    </w:rPr>
  </w:style>
  <w:style w:type="paragraph" w:customStyle="1" w:styleId="Default">
    <w:name w:val="Default"/>
    <w:rsid w:val="00440F9B"/>
    <w:pPr>
      <w:widowControl w:val="0"/>
      <w:autoSpaceDE w:val="0"/>
      <w:autoSpaceDN w:val="0"/>
      <w:adjustRightInd w:val="0"/>
      <w:spacing w:after="0" w:line="240" w:lineRule="auto"/>
      <w:jc w:val="both"/>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4E6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A78"/>
  </w:style>
  <w:style w:type="paragraph" w:styleId="Footer">
    <w:name w:val="footer"/>
    <w:basedOn w:val="Normal"/>
    <w:link w:val="FooterChar"/>
    <w:uiPriority w:val="99"/>
    <w:unhideWhenUsed/>
    <w:rsid w:val="004E6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A78"/>
  </w:style>
  <w:style w:type="character" w:customStyle="1" w:styleId="Heading1Char">
    <w:name w:val="Heading 1 Char"/>
    <w:basedOn w:val="DefaultParagraphFont"/>
    <w:link w:val="Heading1"/>
    <w:uiPriority w:val="9"/>
    <w:rsid w:val="004E6A7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017CD"/>
    <w:pPr>
      <w:outlineLvl w:val="9"/>
    </w:pPr>
    <w:rPr>
      <w:lang w:val="en-US"/>
    </w:rPr>
  </w:style>
  <w:style w:type="paragraph" w:styleId="TOC1">
    <w:name w:val="toc 1"/>
    <w:basedOn w:val="Normal"/>
    <w:next w:val="Normal"/>
    <w:autoRedefine/>
    <w:uiPriority w:val="39"/>
    <w:unhideWhenUsed/>
    <w:rsid w:val="001017CD"/>
    <w:pPr>
      <w:spacing w:after="100"/>
    </w:pPr>
  </w:style>
  <w:style w:type="character" w:styleId="Hyperlink">
    <w:name w:val="Hyperlink"/>
    <w:basedOn w:val="DefaultParagraphFont"/>
    <w:uiPriority w:val="99"/>
    <w:unhideWhenUsed/>
    <w:rsid w:val="001017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15330910F5354993BAD6E0E8BBC4AE" ma:contentTypeVersion="14" ma:contentTypeDescription="Create a new document." ma:contentTypeScope="" ma:versionID="a740d96f55c151b92bdd65a7bd30a880">
  <xsd:schema xmlns:xsd="http://www.w3.org/2001/XMLSchema" xmlns:xs="http://www.w3.org/2001/XMLSchema" xmlns:p="http://schemas.microsoft.com/office/2006/metadata/properties" xmlns:ns2="5df3dfa2-19f4-4f12-b675-8a79add64ca0" xmlns:ns3="ddc2aa69-e24e-4e76-b454-901b7f6c40e1" xmlns:ns4="d5efd484-15aa-41a0-83f6-0646502cb6d6" targetNamespace="http://schemas.microsoft.com/office/2006/metadata/properties" ma:root="true" ma:fieldsID="229492f1e5b4e0ca6b665b216d16712c" ns2:_="" ns3:_="" ns4:_="">
    <xsd:import namespace="5df3dfa2-19f4-4f12-b675-8a79add64ca0"/>
    <xsd:import namespace="ddc2aa69-e24e-4e76-b454-901b7f6c40e1"/>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3dfa2-19f4-4f12-b675-8a79add64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c2aa69-e24e-4e76-b454-901b7f6c40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81b2cc6-6732-453b-a842-720d0ff0344c}" ma:internalName="TaxCatchAll" ma:showField="CatchAllData" ma:web="ddc2aa69-e24e-4e76-b454-901b7f6c4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76B3D-BDA4-4D5D-B4FC-43FA044A4230}">
  <ds:schemaRefs>
    <ds:schemaRef ds:uri="http://schemas.microsoft.com/sharepoint/v3/contenttype/forms"/>
  </ds:schemaRefs>
</ds:datastoreItem>
</file>

<file path=customXml/itemProps2.xml><?xml version="1.0" encoding="utf-8"?>
<ds:datastoreItem xmlns:ds="http://schemas.openxmlformats.org/officeDocument/2006/customXml" ds:itemID="{05CB06A8-EB2B-49A4-BD9E-E930AD3FD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3dfa2-19f4-4f12-b675-8a79add64ca0"/>
    <ds:schemaRef ds:uri="ddc2aa69-e24e-4e76-b454-901b7f6c40e1"/>
    <ds:schemaRef ds:uri="d5efd484-15aa-41a0-83f6-0646502cb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E39F3-83DE-4325-A92D-3CB2AFE8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Carroll</dc:creator>
  <cp:keywords/>
  <dc:description/>
  <cp:lastModifiedBy>Rebecca Carroll</cp:lastModifiedBy>
  <cp:revision>2</cp:revision>
  <dcterms:created xsi:type="dcterms:W3CDTF">2022-10-26T10:12:00Z</dcterms:created>
  <dcterms:modified xsi:type="dcterms:W3CDTF">2022-10-26T10:12:00Z</dcterms:modified>
</cp:coreProperties>
</file>